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4C" w:rsidRPr="00D74ECE" w:rsidRDefault="00651B4C" w:rsidP="00651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ECE">
        <w:rPr>
          <w:rFonts w:ascii="Times New Roman" w:hAnsi="Times New Roman" w:cs="Times New Roman"/>
          <w:b/>
          <w:sz w:val="32"/>
          <w:szCs w:val="32"/>
        </w:rPr>
        <w:t>Приложение 1</w:t>
      </w:r>
      <w:r w:rsidR="00B95C29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67E88" w:rsidRPr="00651B4C" w:rsidRDefault="00867E88" w:rsidP="00DA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1E" w:rsidRPr="00651B4C" w:rsidRDefault="00715153" w:rsidP="00651B4C">
      <w:pPr>
        <w:tabs>
          <w:tab w:val="left" w:pos="75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4C">
        <w:rPr>
          <w:rFonts w:ascii="Times New Roman" w:hAnsi="Times New Roman" w:cs="Times New Roman"/>
          <w:b/>
          <w:sz w:val="28"/>
          <w:szCs w:val="28"/>
        </w:rPr>
        <w:t>Мониторинг оценки</w:t>
      </w:r>
      <w:r w:rsidR="00FA511E" w:rsidRPr="00651B4C">
        <w:rPr>
          <w:rFonts w:ascii="Times New Roman" w:hAnsi="Times New Roman" w:cs="Times New Roman"/>
          <w:b/>
          <w:sz w:val="28"/>
          <w:szCs w:val="28"/>
        </w:rPr>
        <w:t>субъектами пр</w:t>
      </w:r>
      <w:r w:rsidR="00651B4C" w:rsidRPr="00651B4C">
        <w:rPr>
          <w:rFonts w:ascii="Times New Roman" w:hAnsi="Times New Roman" w:cs="Times New Roman"/>
          <w:b/>
          <w:sz w:val="28"/>
          <w:szCs w:val="28"/>
        </w:rPr>
        <w:t xml:space="preserve">едпринимательской деятельности </w:t>
      </w:r>
      <w:r w:rsidR="00FA511E" w:rsidRPr="00651B4C">
        <w:rPr>
          <w:rFonts w:ascii="Times New Roman" w:hAnsi="Times New Roman" w:cs="Times New Roman"/>
          <w:b/>
          <w:sz w:val="28"/>
          <w:szCs w:val="28"/>
        </w:rPr>
        <w:t>с</w:t>
      </w:r>
      <w:r w:rsidR="00FA511E" w:rsidRPr="00651B4C">
        <w:rPr>
          <w:rFonts w:ascii="Times New Roman" w:hAnsi="Times New Roman" w:cs="Times New Roman"/>
          <w:b/>
          <w:sz w:val="28"/>
          <w:szCs w:val="28"/>
        </w:rPr>
        <w:t>о</w:t>
      </w:r>
      <w:r w:rsidR="00FA511E" w:rsidRPr="00651B4C">
        <w:rPr>
          <w:rFonts w:ascii="Times New Roman" w:hAnsi="Times New Roman" w:cs="Times New Roman"/>
          <w:b/>
          <w:sz w:val="28"/>
          <w:szCs w:val="28"/>
        </w:rPr>
        <w:t>стояния и развития конкурентной среды на рынках товаров и услугм</w:t>
      </w:r>
      <w:r w:rsidR="00FA511E" w:rsidRPr="00651B4C">
        <w:rPr>
          <w:rFonts w:ascii="Times New Roman" w:hAnsi="Times New Roman" w:cs="Times New Roman"/>
          <w:b/>
          <w:sz w:val="28"/>
          <w:szCs w:val="28"/>
        </w:rPr>
        <w:t>у</w:t>
      </w:r>
      <w:r w:rsidR="00FA511E" w:rsidRPr="00651B4C">
        <w:rPr>
          <w:rFonts w:ascii="Times New Roman" w:hAnsi="Times New Roman" w:cs="Times New Roman"/>
          <w:b/>
          <w:sz w:val="28"/>
          <w:szCs w:val="28"/>
        </w:rPr>
        <w:t>ниципального образования города-курорта Пятигорска</w:t>
      </w:r>
      <w:r w:rsidR="00651B4C" w:rsidRPr="00651B4C">
        <w:rPr>
          <w:rFonts w:ascii="Times New Roman" w:hAnsi="Times New Roman" w:cs="Times New Roman"/>
          <w:b/>
          <w:sz w:val="28"/>
          <w:szCs w:val="28"/>
        </w:rPr>
        <w:t>.</w:t>
      </w:r>
    </w:p>
    <w:p w:rsidR="00A56389" w:rsidRPr="00651B4C" w:rsidRDefault="00A56389" w:rsidP="00A56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51B4C">
        <w:rPr>
          <w:rFonts w:ascii="Times New Roman" w:hAnsi="Times New Roman" w:cs="Times New Roman"/>
          <w:b/>
          <w:i/>
          <w:sz w:val="32"/>
          <w:szCs w:val="32"/>
          <w:u w:val="single"/>
        </w:rPr>
        <w:t>Характеристика бизнеса</w:t>
      </w:r>
    </w:p>
    <w:p w:rsidR="00651B4C" w:rsidRPr="00651B4C" w:rsidRDefault="00651B4C" w:rsidP="00651B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5153" w:rsidRPr="00651B4C" w:rsidRDefault="00715153" w:rsidP="00651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4C">
        <w:rPr>
          <w:rFonts w:ascii="Times New Roman" w:hAnsi="Times New Roman" w:cs="Times New Roman"/>
          <w:sz w:val="28"/>
          <w:szCs w:val="28"/>
        </w:rPr>
        <w:t>В процессе сбора данных о состоянии и развитии конкурентной среды</w:t>
      </w:r>
    </w:p>
    <w:p w:rsidR="00715153" w:rsidRDefault="00715153" w:rsidP="0065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4C">
        <w:rPr>
          <w:rFonts w:ascii="Times New Roman" w:hAnsi="Times New Roman" w:cs="Times New Roman"/>
          <w:sz w:val="28"/>
          <w:szCs w:val="28"/>
        </w:rPr>
        <w:t xml:space="preserve">было опрошено </w:t>
      </w:r>
      <w:r w:rsidR="00180C9E" w:rsidRPr="00651B4C">
        <w:rPr>
          <w:rFonts w:ascii="Times New Roman" w:hAnsi="Times New Roman" w:cs="Times New Roman"/>
          <w:sz w:val="28"/>
          <w:szCs w:val="28"/>
        </w:rPr>
        <w:t>55</w:t>
      </w:r>
      <w:r w:rsidRPr="00651B4C">
        <w:rPr>
          <w:rFonts w:ascii="Times New Roman" w:hAnsi="Times New Roman" w:cs="Times New Roman"/>
          <w:sz w:val="28"/>
          <w:szCs w:val="28"/>
        </w:rPr>
        <w:t xml:space="preserve"> представителей бизнеса, более </w:t>
      </w:r>
      <w:r w:rsidR="00180C9E" w:rsidRPr="00651B4C">
        <w:rPr>
          <w:rFonts w:ascii="Times New Roman" w:hAnsi="Times New Roman" w:cs="Times New Roman"/>
          <w:sz w:val="28"/>
          <w:szCs w:val="28"/>
        </w:rPr>
        <w:t>половины (5</w:t>
      </w:r>
      <w:r w:rsidRPr="00651B4C">
        <w:rPr>
          <w:rFonts w:ascii="Times New Roman" w:hAnsi="Times New Roman" w:cs="Times New Roman"/>
          <w:sz w:val="28"/>
          <w:szCs w:val="28"/>
        </w:rPr>
        <w:t xml:space="preserve">1%) которых являются  </w:t>
      </w:r>
      <w:r w:rsidR="003A4A1F" w:rsidRPr="00651B4C">
        <w:rPr>
          <w:rFonts w:ascii="Times New Roman" w:hAnsi="Times New Roman" w:cs="Times New Roman"/>
          <w:sz w:val="28"/>
          <w:szCs w:val="28"/>
        </w:rPr>
        <w:t xml:space="preserve">собственниками бизнеса (совладельцами), </w:t>
      </w:r>
      <w:r w:rsidRPr="00651B4C">
        <w:rPr>
          <w:rFonts w:ascii="Times New Roman" w:hAnsi="Times New Roman" w:cs="Times New Roman"/>
          <w:sz w:val="28"/>
          <w:szCs w:val="28"/>
        </w:rPr>
        <w:t>руководителями  вы</w:t>
      </w:r>
      <w:r w:rsidRPr="00651B4C">
        <w:rPr>
          <w:rFonts w:ascii="Times New Roman" w:hAnsi="Times New Roman" w:cs="Times New Roman"/>
          <w:sz w:val="28"/>
          <w:szCs w:val="28"/>
        </w:rPr>
        <w:t>с</w:t>
      </w:r>
      <w:r w:rsidRPr="00651B4C">
        <w:rPr>
          <w:rFonts w:ascii="Times New Roman" w:hAnsi="Times New Roman" w:cs="Times New Roman"/>
          <w:sz w:val="28"/>
          <w:szCs w:val="28"/>
        </w:rPr>
        <w:t>шего  звена  (генеральный  директор, заместитель генерального директора</w:t>
      </w:r>
      <w:r w:rsidR="003A4A1F" w:rsidRPr="00651B4C">
        <w:rPr>
          <w:rFonts w:ascii="Times New Roman" w:hAnsi="Times New Roman" w:cs="Times New Roman"/>
          <w:sz w:val="28"/>
          <w:szCs w:val="28"/>
        </w:rPr>
        <w:t xml:space="preserve"> или иная аналогичная позиция) </w:t>
      </w:r>
      <w:r w:rsidR="00A534F1" w:rsidRPr="00651B4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A4A1F" w:rsidRPr="00651B4C">
        <w:rPr>
          <w:rFonts w:ascii="Times New Roman" w:hAnsi="Times New Roman" w:cs="Times New Roman"/>
          <w:sz w:val="28"/>
          <w:szCs w:val="28"/>
        </w:rPr>
        <w:t xml:space="preserve">27%, </w:t>
      </w:r>
      <w:r w:rsidRPr="00651B4C">
        <w:rPr>
          <w:rFonts w:ascii="Times New Roman" w:hAnsi="Times New Roman" w:cs="Times New Roman"/>
          <w:sz w:val="28"/>
          <w:szCs w:val="28"/>
        </w:rPr>
        <w:t>еще</w:t>
      </w:r>
      <w:r w:rsidR="00773D67" w:rsidRPr="00651B4C">
        <w:rPr>
          <w:rFonts w:ascii="Times New Roman" w:hAnsi="Times New Roman" w:cs="Times New Roman"/>
          <w:sz w:val="28"/>
          <w:szCs w:val="28"/>
        </w:rPr>
        <w:t xml:space="preserve"> 11</w:t>
      </w:r>
      <w:r w:rsidRPr="00651B4C">
        <w:rPr>
          <w:rFonts w:ascii="Times New Roman" w:hAnsi="Times New Roman" w:cs="Times New Roman"/>
          <w:sz w:val="28"/>
          <w:szCs w:val="28"/>
        </w:rPr>
        <w:t>% являются руковод</w:t>
      </w:r>
      <w:r w:rsidRPr="00651B4C">
        <w:rPr>
          <w:rFonts w:ascii="Times New Roman" w:hAnsi="Times New Roman" w:cs="Times New Roman"/>
          <w:sz w:val="28"/>
          <w:szCs w:val="28"/>
        </w:rPr>
        <w:t>и</w:t>
      </w:r>
      <w:r w:rsidRPr="00651B4C">
        <w:rPr>
          <w:rFonts w:ascii="Times New Roman" w:hAnsi="Times New Roman" w:cs="Times New Roman"/>
          <w:sz w:val="28"/>
          <w:szCs w:val="28"/>
        </w:rPr>
        <w:t>телями среднего звена (руководитель упра</w:t>
      </w:r>
      <w:r w:rsidR="00773D67" w:rsidRPr="00651B4C">
        <w:rPr>
          <w:rFonts w:ascii="Times New Roman" w:hAnsi="Times New Roman" w:cs="Times New Roman"/>
          <w:sz w:val="28"/>
          <w:szCs w:val="28"/>
        </w:rPr>
        <w:t>в</w:t>
      </w:r>
      <w:r w:rsidR="00A534F1" w:rsidRPr="00651B4C">
        <w:rPr>
          <w:rFonts w:ascii="Times New Roman" w:hAnsi="Times New Roman" w:cs="Times New Roman"/>
          <w:sz w:val="28"/>
          <w:szCs w:val="28"/>
        </w:rPr>
        <w:t>ления /подразделения / отдела)</w:t>
      </w:r>
      <w:r w:rsidRPr="00651B4C">
        <w:rPr>
          <w:rFonts w:ascii="Times New Roman" w:hAnsi="Times New Roman" w:cs="Times New Roman"/>
          <w:sz w:val="28"/>
          <w:szCs w:val="28"/>
        </w:rPr>
        <w:t xml:space="preserve"> и </w:t>
      </w:r>
      <w:r w:rsidR="00A534F1" w:rsidRPr="00651B4C">
        <w:rPr>
          <w:rFonts w:ascii="Times New Roman" w:hAnsi="Times New Roman" w:cs="Times New Roman"/>
          <w:sz w:val="28"/>
          <w:szCs w:val="28"/>
        </w:rPr>
        <w:t>11,</w:t>
      </w:r>
      <w:r w:rsidRPr="00651B4C">
        <w:rPr>
          <w:rFonts w:ascii="Times New Roman" w:hAnsi="Times New Roman" w:cs="Times New Roman"/>
          <w:sz w:val="28"/>
          <w:szCs w:val="28"/>
        </w:rPr>
        <w:t>% – не руководящими сотрудниками.</w:t>
      </w:r>
    </w:p>
    <w:p w:rsidR="00FA22CC" w:rsidRPr="00715153" w:rsidRDefault="00FA22CC" w:rsidP="0065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BF3" w:rsidRDefault="002C3BF3" w:rsidP="002C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7819" cy="4134679"/>
            <wp:effectExtent l="38100" t="38100" r="74295" b="75565"/>
            <wp:docPr id="1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1B4C" w:rsidRDefault="00651B4C" w:rsidP="002C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960" w:rsidRDefault="002C3BF3" w:rsidP="002C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4C">
        <w:rPr>
          <w:rFonts w:ascii="Times New Roman" w:hAnsi="Times New Roman" w:cs="Times New Roman"/>
          <w:sz w:val="28"/>
          <w:szCs w:val="28"/>
        </w:rPr>
        <w:t xml:space="preserve">Больше половины (52,8%) всех </w:t>
      </w:r>
      <w:r w:rsidR="00715153" w:rsidRPr="00651B4C">
        <w:rPr>
          <w:rFonts w:ascii="Times New Roman" w:hAnsi="Times New Roman" w:cs="Times New Roman"/>
          <w:sz w:val="28"/>
          <w:szCs w:val="28"/>
        </w:rPr>
        <w:t>организаций, представители которых были</w:t>
      </w:r>
      <w:r w:rsidR="00515E7D" w:rsidRPr="00651B4C">
        <w:rPr>
          <w:rFonts w:ascii="Times New Roman" w:hAnsi="Times New Roman" w:cs="Times New Roman"/>
          <w:sz w:val="28"/>
          <w:szCs w:val="28"/>
        </w:rPr>
        <w:t xml:space="preserve"> опрошены, представлены</w:t>
      </w:r>
      <w:r w:rsidR="00715153" w:rsidRPr="00651B4C">
        <w:rPr>
          <w:rFonts w:ascii="Times New Roman" w:hAnsi="Times New Roman" w:cs="Times New Roman"/>
          <w:sz w:val="28"/>
          <w:szCs w:val="28"/>
        </w:rPr>
        <w:t xml:space="preserve"> численностью сотрудников от 16 до 100 ч</w:t>
      </w:r>
      <w:r w:rsidR="00715153" w:rsidRPr="00651B4C">
        <w:rPr>
          <w:rFonts w:ascii="Times New Roman" w:hAnsi="Times New Roman" w:cs="Times New Roman"/>
          <w:sz w:val="28"/>
          <w:szCs w:val="28"/>
        </w:rPr>
        <w:t>е</w:t>
      </w:r>
      <w:r w:rsidR="00715153" w:rsidRPr="00651B4C">
        <w:rPr>
          <w:rFonts w:ascii="Times New Roman" w:hAnsi="Times New Roman" w:cs="Times New Roman"/>
          <w:sz w:val="28"/>
          <w:szCs w:val="28"/>
        </w:rPr>
        <w:t>ловек,</w:t>
      </w:r>
      <w:r w:rsidR="00D61B60" w:rsidRPr="00651B4C">
        <w:rPr>
          <w:rFonts w:ascii="Times New Roman" w:hAnsi="Times New Roman" w:cs="Times New Roman"/>
          <w:sz w:val="28"/>
          <w:szCs w:val="28"/>
        </w:rPr>
        <w:t xml:space="preserve"> 34,5</w:t>
      </w:r>
      <w:r w:rsidR="00F76994" w:rsidRPr="00651B4C">
        <w:rPr>
          <w:rFonts w:ascii="Times New Roman" w:hAnsi="Times New Roman" w:cs="Times New Roman"/>
          <w:sz w:val="28"/>
          <w:szCs w:val="28"/>
        </w:rPr>
        <w:t>% – до 15 человек, 10,9</w:t>
      </w:r>
      <w:r w:rsidR="00715153" w:rsidRPr="00651B4C">
        <w:rPr>
          <w:rFonts w:ascii="Times New Roman" w:hAnsi="Times New Roman" w:cs="Times New Roman"/>
          <w:sz w:val="28"/>
          <w:szCs w:val="28"/>
        </w:rPr>
        <w:t xml:space="preserve">% – от 101 до 250 человек, </w:t>
      </w:r>
      <w:r w:rsidR="00D61B60" w:rsidRPr="00651B4C">
        <w:rPr>
          <w:rFonts w:ascii="Times New Roman" w:hAnsi="Times New Roman" w:cs="Times New Roman"/>
          <w:sz w:val="28"/>
          <w:szCs w:val="28"/>
        </w:rPr>
        <w:t>1,8</w:t>
      </w:r>
      <w:r w:rsidR="00715153" w:rsidRPr="00651B4C">
        <w:rPr>
          <w:rFonts w:ascii="Times New Roman" w:hAnsi="Times New Roman" w:cs="Times New Roman"/>
          <w:sz w:val="28"/>
          <w:szCs w:val="28"/>
        </w:rPr>
        <w:t>% – орган</w:t>
      </w:r>
      <w:r w:rsidR="00715153" w:rsidRPr="00651B4C">
        <w:rPr>
          <w:rFonts w:ascii="Times New Roman" w:hAnsi="Times New Roman" w:cs="Times New Roman"/>
          <w:sz w:val="28"/>
          <w:szCs w:val="28"/>
        </w:rPr>
        <w:t>и</w:t>
      </w:r>
      <w:r w:rsidR="00715153" w:rsidRPr="00651B4C">
        <w:rPr>
          <w:rFonts w:ascii="Times New Roman" w:hAnsi="Times New Roman" w:cs="Times New Roman"/>
          <w:sz w:val="28"/>
          <w:szCs w:val="28"/>
        </w:rPr>
        <w:t>зации счисленностью работников свыше 250 человек</w:t>
      </w:r>
      <w:r w:rsidR="00515E7D" w:rsidRPr="00651B4C">
        <w:rPr>
          <w:rFonts w:ascii="Times New Roman" w:hAnsi="Times New Roman" w:cs="Times New Roman"/>
          <w:sz w:val="28"/>
          <w:szCs w:val="28"/>
        </w:rPr>
        <w:t>. Таким  образом,  большинство  респондентов  осуществляли предпринимательскую деятел</w:t>
      </w:r>
      <w:r w:rsidR="00515E7D" w:rsidRPr="00651B4C">
        <w:rPr>
          <w:rFonts w:ascii="Times New Roman" w:hAnsi="Times New Roman" w:cs="Times New Roman"/>
          <w:sz w:val="28"/>
          <w:szCs w:val="28"/>
        </w:rPr>
        <w:t>ь</w:t>
      </w:r>
      <w:r w:rsidR="00515E7D" w:rsidRPr="00651B4C">
        <w:rPr>
          <w:rFonts w:ascii="Times New Roman" w:hAnsi="Times New Roman" w:cs="Times New Roman"/>
          <w:sz w:val="28"/>
          <w:szCs w:val="28"/>
        </w:rPr>
        <w:t>ность в сфере малого бизнеса.</w:t>
      </w:r>
    </w:p>
    <w:p w:rsidR="00046018" w:rsidRPr="009A554C" w:rsidRDefault="00F76994" w:rsidP="00F7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770" cy="3593990"/>
            <wp:effectExtent l="38100" t="38100" r="85090" b="83185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6BE" w:rsidRDefault="003956BE" w:rsidP="00F8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B73" w:rsidRDefault="002C3BF3" w:rsidP="00F8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бизнес-структур по возрасту – количеству лет, в тече</w:t>
      </w:r>
      <w:r w:rsidR="004500AC">
        <w:rPr>
          <w:rFonts w:ascii="Times New Roman" w:hAnsi="Times New Roman" w:cs="Times New Roman"/>
          <w:sz w:val="28"/>
          <w:szCs w:val="28"/>
        </w:rPr>
        <w:t>ние которых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на рынке</w:t>
      </w:r>
      <w:r w:rsidR="004C25CC">
        <w:rPr>
          <w:rFonts w:ascii="Times New Roman" w:hAnsi="Times New Roman" w:cs="Times New Roman"/>
          <w:sz w:val="28"/>
          <w:szCs w:val="28"/>
        </w:rPr>
        <w:t>, сложилось следующим обр</w:t>
      </w:r>
      <w:r w:rsidR="004C25CC">
        <w:rPr>
          <w:rFonts w:ascii="Times New Roman" w:hAnsi="Times New Roman" w:cs="Times New Roman"/>
          <w:sz w:val="28"/>
          <w:szCs w:val="28"/>
        </w:rPr>
        <w:t>а</w:t>
      </w:r>
      <w:r w:rsidR="004C25CC">
        <w:rPr>
          <w:rFonts w:ascii="Times New Roman" w:hAnsi="Times New Roman" w:cs="Times New Roman"/>
          <w:sz w:val="28"/>
          <w:szCs w:val="28"/>
        </w:rPr>
        <w:t>зом:</w:t>
      </w:r>
    </w:p>
    <w:p w:rsidR="00FA22CC" w:rsidRDefault="00FA22CC" w:rsidP="00F8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BF3" w:rsidRDefault="002C3BF3" w:rsidP="002C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3722" cy="3824577"/>
            <wp:effectExtent l="38100" t="38100" r="77470" b="8128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25CC" w:rsidRDefault="00276EBA" w:rsidP="00513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6BE">
        <w:rPr>
          <w:rFonts w:ascii="Times New Roman" w:hAnsi="Times New Roman" w:cs="Times New Roman"/>
          <w:sz w:val="28"/>
          <w:szCs w:val="28"/>
        </w:rPr>
        <w:t>Основная часть</w:t>
      </w:r>
      <w:r w:rsidR="004C25CC" w:rsidRPr="003956B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3956BE">
        <w:rPr>
          <w:rFonts w:ascii="Times New Roman" w:hAnsi="Times New Roman" w:cs="Times New Roman"/>
          <w:sz w:val="28"/>
          <w:szCs w:val="28"/>
        </w:rPr>
        <w:t xml:space="preserve"> (</w:t>
      </w:r>
      <w:r w:rsidR="003A4A1F" w:rsidRPr="003956BE">
        <w:rPr>
          <w:rFonts w:ascii="Times New Roman" w:hAnsi="Times New Roman" w:cs="Times New Roman"/>
          <w:sz w:val="28"/>
          <w:szCs w:val="28"/>
        </w:rPr>
        <w:t>60</w:t>
      </w:r>
      <w:r w:rsidRPr="003956BE">
        <w:rPr>
          <w:rFonts w:ascii="Times New Roman" w:hAnsi="Times New Roman" w:cs="Times New Roman"/>
          <w:sz w:val="28"/>
          <w:szCs w:val="28"/>
        </w:rPr>
        <w:t>%)</w:t>
      </w:r>
      <w:r w:rsidR="003956BE" w:rsidRPr="003956BE">
        <w:rPr>
          <w:rFonts w:ascii="Times New Roman" w:hAnsi="Times New Roman" w:cs="Times New Roman"/>
          <w:sz w:val="28"/>
          <w:szCs w:val="28"/>
        </w:rPr>
        <w:t xml:space="preserve"> работае</w:t>
      </w:r>
      <w:r w:rsidR="004C25CC" w:rsidRPr="003956BE">
        <w:rPr>
          <w:rFonts w:ascii="Times New Roman" w:hAnsi="Times New Roman" w:cs="Times New Roman"/>
          <w:sz w:val="28"/>
          <w:szCs w:val="28"/>
        </w:rPr>
        <w:t>т в бизнесе более 5 лет, т.е. успели накопить достаточный опыт ведения бизнеса и могут давать объе</w:t>
      </w:r>
      <w:r w:rsidR="004C25CC" w:rsidRPr="003956BE">
        <w:rPr>
          <w:rFonts w:ascii="Times New Roman" w:hAnsi="Times New Roman" w:cs="Times New Roman"/>
          <w:sz w:val="28"/>
          <w:szCs w:val="28"/>
        </w:rPr>
        <w:t>к</w:t>
      </w:r>
      <w:r w:rsidR="004C25CC" w:rsidRPr="003956BE">
        <w:rPr>
          <w:rFonts w:ascii="Times New Roman" w:hAnsi="Times New Roman" w:cs="Times New Roman"/>
          <w:sz w:val="28"/>
          <w:szCs w:val="28"/>
        </w:rPr>
        <w:lastRenderedPageBreak/>
        <w:t>тивные оценки конъюнктуры рынка и состоянию кон</w:t>
      </w:r>
      <w:r w:rsidRPr="003956BE">
        <w:rPr>
          <w:rFonts w:ascii="Times New Roman" w:hAnsi="Times New Roman" w:cs="Times New Roman"/>
          <w:sz w:val="28"/>
          <w:szCs w:val="28"/>
        </w:rPr>
        <w:t>курентной среды</w:t>
      </w:r>
      <w:r w:rsidR="00775378" w:rsidRPr="003956BE">
        <w:rPr>
          <w:rFonts w:ascii="Times New Roman" w:hAnsi="Times New Roman" w:cs="Times New Roman"/>
          <w:sz w:val="28"/>
          <w:szCs w:val="28"/>
        </w:rPr>
        <w:t>.  П</w:t>
      </w:r>
      <w:r w:rsidRPr="003956BE">
        <w:rPr>
          <w:rFonts w:ascii="Times New Roman" w:hAnsi="Times New Roman" w:cs="Times New Roman"/>
          <w:sz w:val="28"/>
          <w:szCs w:val="28"/>
        </w:rPr>
        <w:t>р</w:t>
      </w:r>
      <w:r w:rsidRPr="003956BE">
        <w:rPr>
          <w:rFonts w:ascii="Times New Roman" w:hAnsi="Times New Roman" w:cs="Times New Roman"/>
          <w:sz w:val="28"/>
          <w:szCs w:val="28"/>
        </w:rPr>
        <w:t>и</w:t>
      </w:r>
      <w:r w:rsidRPr="003956BE">
        <w:rPr>
          <w:rFonts w:ascii="Times New Roman" w:hAnsi="Times New Roman" w:cs="Times New Roman"/>
          <w:sz w:val="28"/>
          <w:szCs w:val="28"/>
        </w:rPr>
        <w:t>сутствуют на рынке от 1 года до 5</w:t>
      </w:r>
      <w:r w:rsidR="004C25CC" w:rsidRPr="003956BE">
        <w:rPr>
          <w:rFonts w:ascii="Times New Roman" w:hAnsi="Times New Roman" w:cs="Times New Roman"/>
          <w:sz w:val="28"/>
          <w:szCs w:val="28"/>
        </w:rPr>
        <w:t xml:space="preserve"> лет</w:t>
      </w:r>
      <w:r w:rsidR="00775378" w:rsidRPr="003956BE">
        <w:rPr>
          <w:rFonts w:ascii="Times New Roman" w:hAnsi="Times New Roman" w:cs="Times New Roman"/>
          <w:sz w:val="28"/>
          <w:szCs w:val="28"/>
        </w:rPr>
        <w:t xml:space="preserve"> –</w:t>
      </w:r>
      <w:r w:rsidR="003A4A1F" w:rsidRPr="003956BE">
        <w:rPr>
          <w:rFonts w:ascii="Times New Roman" w:hAnsi="Times New Roman" w:cs="Times New Roman"/>
          <w:sz w:val="28"/>
          <w:szCs w:val="28"/>
        </w:rPr>
        <w:t xml:space="preserve"> 34,5</w:t>
      </w:r>
      <w:r w:rsidR="00775378" w:rsidRPr="003956BE">
        <w:rPr>
          <w:rFonts w:ascii="Times New Roman" w:hAnsi="Times New Roman" w:cs="Times New Roman"/>
          <w:sz w:val="28"/>
          <w:szCs w:val="28"/>
        </w:rPr>
        <w:t>% и</w:t>
      </w:r>
      <w:r w:rsidRPr="003956BE">
        <w:rPr>
          <w:rFonts w:ascii="Times New Roman" w:hAnsi="Times New Roman" w:cs="Times New Roman"/>
          <w:sz w:val="28"/>
          <w:szCs w:val="28"/>
        </w:rPr>
        <w:t xml:space="preserve"> 5,5</w:t>
      </w:r>
      <w:r w:rsidR="004C25CC" w:rsidRPr="003956BE">
        <w:rPr>
          <w:rFonts w:ascii="Times New Roman" w:hAnsi="Times New Roman" w:cs="Times New Roman"/>
          <w:sz w:val="28"/>
          <w:szCs w:val="28"/>
        </w:rPr>
        <w:t xml:space="preserve"> % респондентов – нач</w:t>
      </w:r>
      <w:r w:rsidR="004C25CC" w:rsidRPr="003956BE">
        <w:rPr>
          <w:rFonts w:ascii="Times New Roman" w:hAnsi="Times New Roman" w:cs="Times New Roman"/>
          <w:sz w:val="28"/>
          <w:szCs w:val="28"/>
        </w:rPr>
        <w:t>и</w:t>
      </w:r>
      <w:r w:rsidR="004C25CC" w:rsidRPr="003956BE">
        <w:rPr>
          <w:rFonts w:ascii="Times New Roman" w:hAnsi="Times New Roman" w:cs="Times New Roman"/>
          <w:sz w:val="28"/>
          <w:szCs w:val="28"/>
        </w:rPr>
        <w:t>нающие предприниматели (менее одного года в бизнесе).</w:t>
      </w:r>
    </w:p>
    <w:p w:rsidR="00775378" w:rsidRDefault="00775378" w:rsidP="0077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4B4" w:rsidRDefault="005132C9" w:rsidP="0033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15770" cy="3593990"/>
            <wp:effectExtent l="38100" t="38100" r="85090" b="83185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134B4" w:rsidRPr="002134B4">
        <w:rPr>
          <w:rFonts w:ascii="Times New Roman" w:hAnsi="Times New Roman" w:cs="Times New Roman"/>
          <w:sz w:val="28"/>
          <w:szCs w:val="28"/>
        </w:rPr>
        <w:t>По величине годового оборота бизнеса ответы респондентов распределились следующим образом:</w:t>
      </w:r>
    </w:p>
    <w:p w:rsidR="00DF7975" w:rsidRDefault="00DF7975" w:rsidP="0033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DA5">
        <w:rPr>
          <w:rFonts w:ascii="Times New Roman" w:hAnsi="Times New Roman" w:cs="Times New Roman"/>
          <w:sz w:val="28"/>
          <w:szCs w:val="28"/>
        </w:rPr>
        <w:t xml:space="preserve"> до 120 миллионов рублей </w:t>
      </w:r>
      <w:r w:rsidR="00775378" w:rsidRPr="00775378">
        <w:rPr>
          <w:rFonts w:ascii="Times New Roman" w:hAnsi="Times New Roman" w:cs="Times New Roman"/>
          <w:sz w:val="28"/>
          <w:szCs w:val="28"/>
        </w:rPr>
        <w:t>(микропред</w:t>
      </w:r>
      <w:r w:rsidR="00331DA5">
        <w:rPr>
          <w:rFonts w:ascii="Times New Roman" w:hAnsi="Times New Roman" w:cs="Times New Roman"/>
          <w:sz w:val="28"/>
          <w:szCs w:val="28"/>
        </w:rPr>
        <w:t>приятие) –41,8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DF7975" w:rsidRDefault="00DF7975" w:rsidP="00DF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75378" w:rsidRPr="00775378">
        <w:rPr>
          <w:rFonts w:ascii="Times New Roman" w:hAnsi="Times New Roman" w:cs="Times New Roman"/>
          <w:sz w:val="28"/>
          <w:szCs w:val="28"/>
        </w:rPr>
        <w:t>от 120 до 800 мил</w:t>
      </w:r>
      <w:r>
        <w:rPr>
          <w:rFonts w:ascii="Times New Roman" w:hAnsi="Times New Roman" w:cs="Times New Roman"/>
          <w:sz w:val="28"/>
          <w:szCs w:val="28"/>
        </w:rPr>
        <w:t>лионов рублей (малое предприятие) – 47,3 %;</w:t>
      </w:r>
    </w:p>
    <w:p w:rsidR="00775378" w:rsidRPr="00775378" w:rsidRDefault="00DF7975" w:rsidP="00DF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75378" w:rsidRPr="00775378">
        <w:rPr>
          <w:rFonts w:ascii="Times New Roman" w:hAnsi="Times New Roman" w:cs="Times New Roman"/>
          <w:sz w:val="28"/>
          <w:szCs w:val="28"/>
        </w:rPr>
        <w:t>от 800 до</w:t>
      </w:r>
      <w:r>
        <w:rPr>
          <w:rFonts w:ascii="Times New Roman" w:hAnsi="Times New Roman" w:cs="Times New Roman"/>
          <w:sz w:val="28"/>
          <w:szCs w:val="28"/>
        </w:rPr>
        <w:t xml:space="preserve"> 2000 миллионов рублей (среднее предприятие) – 10,9%.</w:t>
      </w:r>
    </w:p>
    <w:p w:rsidR="004654F5" w:rsidRDefault="00DF7975" w:rsidP="00DF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75">
        <w:rPr>
          <w:rFonts w:ascii="Times New Roman" w:hAnsi="Times New Roman" w:cs="Times New Roman"/>
          <w:sz w:val="28"/>
          <w:szCs w:val="28"/>
        </w:rPr>
        <w:t>Таким образом, больши</w:t>
      </w:r>
      <w:r>
        <w:rPr>
          <w:rFonts w:ascii="Times New Roman" w:hAnsi="Times New Roman" w:cs="Times New Roman"/>
          <w:sz w:val="28"/>
          <w:szCs w:val="28"/>
        </w:rPr>
        <w:t xml:space="preserve">нство респондентов осуществляли </w:t>
      </w:r>
      <w:r w:rsidRPr="00DF7975">
        <w:rPr>
          <w:rFonts w:ascii="Times New Roman" w:hAnsi="Times New Roman" w:cs="Times New Roman"/>
          <w:sz w:val="28"/>
          <w:szCs w:val="28"/>
        </w:rPr>
        <w:t>предприн</w:t>
      </w:r>
      <w:r w:rsidRPr="00DF7975">
        <w:rPr>
          <w:rFonts w:ascii="Times New Roman" w:hAnsi="Times New Roman" w:cs="Times New Roman"/>
          <w:sz w:val="28"/>
          <w:szCs w:val="28"/>
        </w:rPr>
        <w:t>и</w:t>
      </w:r>
      <w:r w:rsidRPr="00DF7975">
        <w:rPr>
          <w:rFonts w:ascii="Times New Roman" w:hAnsi="Times New Roman" w:cs="Times New Roman"/>
          <w:sz w:val="28"/>
          <w:szCs w:val="28"/>
        </w:rPr>
        <w:t>мательскую деятельность в сфере малого бизнеса.</w:t>
      </w:r>
      <w:r w:rsidRPr="00DF7975">
        <w:rPr>
          <w:rFonts w:ascii="Times New Roman" w:hAnsi="Times New Roman" w:cs="Times New Roman"/>
          <w:sz w:val="28"/>
          <w:szCs w:val="28"/>
        </w:rPr>
        <w:cr/>
      </w:r>
    </w:p>
    <w:p w:rsidR="00C077D2" w:rsidRDefault="00C077D2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464" w:rsidRDefault="002E1464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287" w:rsidRDefault="005B7287" w:rsidP="0045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представителей бизнеса из каждой сферы экономической деятельности, принявших участие в опросе,  </w:t>
      </w:r>
      <w:r w:rsidR="00866A64">
        <w:rPr>
          <w:rFonts w:ascii="Times New Roman" w:hAnsi="Times New Roman" w:cs="Times New Roman"/>
          <w:sz w:val="28"/>
          <w:szCs w:val="28"/>
        </w:rPr>
        <w:t>представлена на  диаграмме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4F5" w:rsidRDefault="004654F5" w:rsidP="00E60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2160" cy="8651019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66D0" w:rsidRDefault="00003139" w:rsidP="00866A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39">
        <w:rPr>
          <w:rFonts w:ascii="Times New Roman" w:hAnsi="Times New Roman" w:cs="Times New Roman"/>
          <w:sz w:val="28"/>
          <w:szCs w:val="28"/>
        </w:rPr>
        <w:lastRenderedPageBreak/>
        <w:t>Основная сфера деятельности предприятий, принявших участие в и</w:t>
      </w:r>
      <w:r w:rsidRPr="00003139">
        <w:rPr>
          <w:rFonts w:ascii="Times New Roman" w:hAnsi="Times New Roman" w:cs="Times New Roman"/>
          <w:sz w:val="28"/>
          <w:szCs w:val="28"/>
        </w:rPr>
        <w:t>с</w:t>
      </w:r>
      <w:r w:rsidRPr="00003139">
        <w:rPr>
          <w:rFonts w:ascii="Times New Roman" w:hAnsi="Times New Roman" w:cs="Times New Roman"/>
          <w:sz w:val="28"/>
          <w:szCs w:val="28"/>
        </w:rPr>
        <w:t>следовании, – это розничная торговля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3139">
        <w:rPr>
          <w:rFonts w:ascii="Times New Roman" w:hAnsi="Times New Roman" w:cs="Times New Roman"/>
          <w:sz w:val="28"/>
          <w:szCs w:val="28"/>
        </w:rPr>
        <w:t>4,8%), производство пищевых пр</w:t>
      </w:r>
      <w:r w:rsidRPr="00003139">
        <w:rPr>
          <w:rFonts w:ascii="Times New Roman" w:hAnsi="Times New Roman" w:cs="Times New Roman"/>
          <w:sz w:val="28"/>
          <w:szCs w:val="28"/>
        </w:rPr>
        <w:t>о</w:t>
      </w:r>
      <w:r w:rsidRPr="00003139">
        <w:rPr>
          <w:rFonts w:ascii="Times New Roman" w:hAnsi="Times New Roman" w:cs="Times New Roman"/>
          <w:sz w:val="28"/>
          <w:szCs w:val="28"/>
        </w:rPr>
        <w:t>дуктов (12,7%), транспорт и связь (10,9%), гостиницы и рестораны (5,5%), оптовая торговля (10,9%), текстильно</w:t>
      </w:r>
      <w:r w:rsidR="00866A64">
        <w:rPr>
          <w:rFonts w:ascii="Times New Roman" w:hAnsi="Times New Roman" w:cs="Times New Roman"/>
          <w:sz w:val="28"/>
          <w:szCs w:val="28"/>
        </w:rPr>
        <w:t>е и швейное производство (9,1%).</w:t>
      </w:r>
    </w:p>
    <w:p w:rsidR="000C0E3C" w:rsidRPr="000C0E3C" w:rsidRDefault="00436CE0" w:rsidP="000C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7819" cy="3045350"/>
            <wp:effectExtent l="38100" t="38100" r="74295" b="79375"/>
            <wp:docPr id="1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31C7" w:rsidRDefault="007D0651" w:rsidP="0021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масса </w:t>
      </w:r>
      <w:r w:rsidRPr="000C0E3C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651">
        <w:rPr>
          <w:rFonts w:ascii="Times New Roman" w:hAnsi="Times New Roman" w:cs="Times New Roman"/>
          <w:sz w:val="28"/>
          <w:szCs w:val="28"/>
        </w:rPr>
        <w:t xml:space="preserve">36,3%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0C0E3C">
        <w:rPr>
          <w:rFonts w:ascii="Times New Roman" w:hAnsi="Times New Roman" w:cs="Times New Roman"/>
          <w:sz w:val="28"/>
          <w:szCs w:val="28"/>
        </w:rPr>
        <w:t>т торговлю или д</w:t>
      </w:r>
      <w:r w:rsidRPr="000C0E3C">
        <w:rPr>
          <w:rFonts w:ascii="Times New Roman" w:hAnsi="Times New Roman" w:cs="Times New Roman"/>
          <w:sz w:val="28"/>
          <w:szCs w:val="28"/>
        </w:rPr>
        <w:t>и</w:t>
      </w:r>
      <w:r w:rsidRPr="000C0E3C">
        <w:rPr>
          <w:rFonts w:ascii="Times New Roman" w:hAnsi="Times New Roman" w:cs="Times New Roman"/>
          <w:sz w:val="28"/>
          <w:szCs w:val="28"/>
        </w:rPr>
        <w:t>с</w:t>
      </w:r>
      <w:r w:rsidR="00D022C9">
        <w:rPr>
          <w:rFonts w:ascii="Times New Roman" w:hAnsi="Times New Roman" w:cs="Times New Roman"/>
          <w:sz w:val="28"/>
          <w:szCs w:val="28"/>
        </w:rPr>
        <w:t>трибу</w:t>
      </w:r>
      <w:r w:rsidRPr="000C0E3C">
        <w:rPr>
          <w:rFonts w:ascii="Times New Roman" w:hAnsi="Times New Roman" w:cs="Times New Roman"/>
          <w:sz w:val="28"/>
          <w:szCs w:val="28"/>
        </w:rPr>
        <w:t>цию товаров и услуг,произведенных другими компа</w:t>
      </w:r>
      <w:r>
        <w:rPr>
          <w:rFonts w:ascii="Times New Roman" w:hAnsi="Times New Roman" w:cs="Times New Roman"/>
          <w:sz w:val="28"/>
          <w:szCs w:val="28"/>
        </w:rPr>
        <w:t>ниями, 31%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пондентов производят к</w:t>
      </w:r>
      <w:r w:rsidRPr="002134B4">
        <w:rPr>
          <w:rFonts w:ascii="Times New Roman" w:hAnsi="Times New Roman" w:cs="Times New Roman"/>
          <w:sz w:val="28"/>
          <w:szCs w:val="28"/>
        </w:rPr>
        <w:t>онечную продукцию</w:t>
      </w:r>
      <w:r>
        <w:rPr>
          <w:rFonts w:ascii="Times New Roman" w:hAnsi="Times New Roman" w:cs="Times New Roman"/>
          <w:sz w:val="28"/>
          <w:szCs w:val="28"/>
        </w:rPr>
        <w:t>, 25,5</w:t>
      </w:r>
      <w:r w:rsidR="002134B4">
        <w:rPr>
          <w:rFonts w:ascii="Times New Roman" w:hAnsi="Times New Roman" w:cs="Times New Roman"/>
          <w:sz w:val="28"/>
          <w:szCs w:val="28"/>
        </w:rPr>
        <w:t>%</w:t>
      </w:r>
      <w:r w:rsidR="000C0E3C" w:rsidRPr="000C0E3C">
        <w:rPr>
          <w:rFonts w:ascii="Times New Roman" w:hAnsi="Times New Roman" w:cs="Times New Roman"/>
          <w:sz w:val="28"/>
          <w:szCs w:val="28"/>
        </w:rPr>
        <w:t xml:space="preserve"> респондентов предста</w:t>
      </w:r>
      <w:r w:rsidR="000C0E3C" w:rsidRPr="000C0E3C">
        <w:rPr>
          <w:rFonts w:ascii="Times New Roman" w:hAnsi="Times New Roman" w:cs="Times New Roman"/>
          <w:sz w:val="28"/>
          <w:szCs w:val="28"/>
        </w:rPr>
        <w:t>в</w:t>
      </w:r>
      <w:r w:rsidR="000C0E3C" w:rsidRPr="000C0E3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ют сферу услуг, 3,6</w:t>
      </w:r>
      <w:r w:rsidR="000C0E3C" w:rsidRPr="000C0E3C">
        <w:rPr>
          <w:rFonts w:ascii="Times New Roman" w:hAnsi="Times New Roman" w:cs="Times New Roman"/>
          <w:sz w:val="28"/>
          <w:szCs w:val="28"/>
        </w:rPr>
        <w:t>% производят сырье или материалы для дальнейшей переработки</w:t>
      </w:r>
      <w:r w:rsidR="00436CE0">
        <w:rPr>
          <w:rFonts w:ascii="Times New Roman" w:hAnsi="Times New Roman" w:cs="Times New Roman"/>
          <w:sz w:val="28"/>
          <w:szCs w:val="28"/>
        </w:rPr>
        <w:t xml:space="preserve"> и </w:t>
      </w:r>
      <w:r w:rsidR="00AA12B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B0CF8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D20F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3,6</w:t>
      </w:r>
      <w:r w:rsidR="00436CE0" w:rsidRPr="00436CE0">
        <w:rPr>
          <w:rFonts w:ascii="Times New Roman" w:hAnsi="Times New Roman" w:cs="Times New Roman"/>
          <w:sz w:val="28"/>
          <w:szCs w:val="28"/>
        </w:rPr>
        <w:t>% респондентов</w:t>
      </w:r>
      <w:r w:rsidR="00436CE0">
        <w:rPr>
          <w:rFonts w:ascii="Times New Roman" w:hAnsi="Times New Roman" w:cs="Times New Roman"/>
          <w:sz w:val="28"/>
          <w:szCs w:val="28"/>
        </w:rPr>
        <w:t>.</w:t>
      </w:r>
    </w:p>
    <w:p w:rsidR="008F31C7" w:rsidRDefault="008F31C7" w:rsidP="00DF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84" w:rsidRDefault="005864EE" w:rsidP="00CF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7819" cy="3673503"/>
            <wp:effectExtent l="38100" t="38100" r="74295" b="79375"/>
            <wp:docPr id="1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5CA0" w:rsidRDefault="005864EE" w:rsidP="009E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139">
        <w:rPr>
          <w:rFonts w:ascii="Times New Roman" w:hAnsi="Times New Roman" w:cs="Times New Roman"/>
          <w:sz w:val="28"/>
          <w:szCs w:val="28"/>
        </w:rPr>
        <w:lastRenderedPageBreak/>
        <w:t>Опрос респондентов о географических рынках, представляемыхбизн</w:t>
      </w:r>
      <w:r w:rsidRPr="00003139">
        <w:rPr>
          <w:rFonts w:ascii="Times New Roman" w:hAnsi="Times New Roman" w:cs="Times New Roman"/>
          <w:sz w:val="28"/>
          <w:szCs w:val="28"/>
        </w:rPr>
        <w:t>е</w:t>
      </w:r>
      <w:r w:rsidRPr="00003139">
        <w:rPr>
          <w:rFonts w:ascii="Times New Roman" w:hAnsi="Times New Roman" w:cs="Times New Roman"/>
          <w:sz w:val="28"/>
          <w:szCs w:val="28"/>
        </w:rPr>
        <w:t>сом, показал, что основным</w:t>
      </w:r>
      <w:r w:rsidR="00B500C4" w:rsidRPr="00003139">
        <w:rPr>
          <w:rFonts w:ascii="Times New Roman" w:hAnsi="Times New Roman" w:cs="Times New Roman"/>
          <w:sz w:val="28"/>
          <w:szCs w:val="28"/>
        </w:rPr>
        <w:t xml:space="preserve"> рын</w:t>
      </w:r>
      <w:r w:rsidR="00C77705" w:rsidRPr="00003139">
        <w:rPr>
          <w:rFonts w:ascii="Times New Roman" w:hAnsi="Times New Roman" w:cs="Times New Roman"/>
          <w:sz w:val="28"/>
          <w:szCs w:val="28"/>
        </w:rPr>
        <w:t>ком сбыта продукции (услуг)</w:t>
      </w:r>
      <w:r w:rsidR="001231EE" w:rsidRPr="00003139">
        <w:rPr>
          <w:rFonts w:ascii="Times New Roman" w:hAnsi="Times New Roman" w:cs="Times New Roman"/>
          <w:sz w:val="28"/>
          <w:szCs w:val="28"/>
        </w:rPr>
        <w:t xml:space="preserve"> для 43,7 % предприятий</w:t>
      </w:r>
      <w:r w:rsidR="00C77705" w:rsidRPr="00003139">
        <w:rPr>
          <w:rFonts w:ascii="Times New Roman" w:hAnsi="Times New Roman" w:cs="Times New Roman"/>
          <w:sz w:val="28"/>
          <w:szCs w:val="28"/>
        </w:rPr>
        <w:t xml:space="preserve"> является локальный рынок (рынок города - курорта Пятиго</w:t>
      </w:r>
      <w:r w:rsidR="00C77705" w:rsidRPr="00003139">
        <w:rPr>
          <w:rFonts w:ascii="Times New Roman" w:hAnsi="Times New Roman" w:cs="Times New Roman"/>
          <w:sz w:val="28"/>
          <w:szCs w:val="28"/>
        </w:rPr>
        <w:t>р</w:t>
      </w:r>
      <w:r w:rsidR="00C77705" w:rsidRPr="00003139">
        <w:rPr>
          <w:rFonts w:ascii="Times New Roman" w:hAnsi="Times New Roman" w:cs="Times New Roman"/>
          <w:sz w:val="28"/>
          <w:szCs w:val="28"/>
        </w:rPr>
        <w:t>ска</w:t>
      </w:r>
      <w:r w:rsidR="001231EE" w:rsidRPr="00003139">
        <w:rPr>
          <w:rFonts w:ascii="Times New Roman" w:hAnsi="Times New Roman" w:cs="Times New Roman"/>
          <w:sz w:val="28"/>
          <w:szCs w:val="28"/>
        </w:rPr>
        <w:t>)</w:t>
      </w:r>
      <w:r w:rsidR="003C07B3">
        <w:rPr>
          <w:rFonts w:ascii="Times New Roman" w:hAnsi="Times New Roman" w:cs="Times New Roman"/>
          <w:sz w:val="28"/>
          <w:szCs w:val="28"/>
        </w:rPr>
        <w:t>.Д</w:t>
      </w:r>
      <w:r w:rsidR="001231EE" w:rsidRPr="00003139">
        <w:rPr>
          <w:rFonts w:ascii="Times New Roman" w:hAnsi="Times New Roman" w:cs="Times New Roman"/>
          <w:sz w:val="28"/>
          <w:szCs w:val="28"/>
        </w:rPr>
        <w:t>ля 36,4% предприятий - рынок Ставропольского края</w:t>
      </w:r>
      <w:r w:rsidR="00B500C4" w:rsidRPr="00003139">
        <w:rPr>
          <w:rFonts w:ascii="Times New Roman" w:hAnsi="Times New Roman" w:cs="Times New Roman"/>
          <w:sz w:val="28"/>
          <w:szCs w:val="28"/>
        </w:rPr>
        <w:t xml:space="preserve">, </w:t>
      </w:r>
      <w:r w:rsidR="001231EE" w:rsidRPr="00003139">
        <w:rPr>
          <w:rFonts w:ascii="Times New Roman" w:hAnsi="Times New Roman" w:cs="Times New Roman"/>
          <w:sz w:val="28"/>
          <w:szCs w:val="28"/>
        </w:rPr>
        <w:t>для 14,</w:t>
      </w:r>
      <w:r w:rsidR="00C77705" w:rsidRPr="00003139">
        <w:rPr>
          <w:rFonts w:ascii="Times New Roman" w:hAnsi="Times New Roman" w:cs="Times New Roman"/>
          <w:sz w:val="28"/>
          <w:szCs w:val="28"/>
        </w:rPr>
        <w:t>5</w:t>
      </w:r>
      <w:r w:rsidR="001231EE" w:rsidRPr="00003139">
        <w:rPr>
          <w:rFonts w:ascii="Times New Roman" w:hAnsi="Times New Roman" w:cs="Times New Roman"/>
          <w:sz w:val="28"/>
          <w:szCs w:val="28"/>
        </w:rPr>
        <w:t>% пре</w:t>
      </w:r>
      <w:r w:rsidR="001231EE" w:rsidRPr="00003139">
        <w:rPr>
          <w:rFonts w:ascii="Times New Roman" w:hAnsi="Times New Roman" w:cs="Times New Roman"/>
          <w:sz w:val="28"/>
          <w:szCs w:val="28"/>
        </w:rPr>
        <w:t>д</w:t>
      </w:r>
      <w:r w:rsidR="001231EE" w:rsidRPr="00003139">
        <w:rPr>
          <w:rFonts w:ascii="Times New Roman" w:hAnsi="Times New Roman" w:cs="Times New Roman"/>
          <w:sz w:val="28"/>
          <w:szCs w:val="28"/>
        </w:rPr>
        <w:t xml:space="preserve">приятий -рынки нескольких субъектов Российской Федерации, для 3,6% предприятий </w:t>
      </w:r>
      <w:r w:rsidR="00B42503" w:rsidRPr="00003139">
        <w:rPr>
          <w:rFonts w:ascii="Times New Roman" w:hAnsi="Times New Roman" w:cs="Times New Roman"/>
          <w:sz w:val="28"/>
          <w:szCs w:val="28"/>
        </w:rPr>
        <w:t>–</w:t>
      </w:r>
      <w:r w:rsidR="001231EE" w:rsidRPr="00003139">
        <w:rPr>
          <w:rFonts w:ascii="Times New Roman" w:hAnsi="Times New Roman" w:cs="Times New Roman"/>
          <w:sz w:val="28"/>
          <w:szCs w:val="28"/>
        </w:rPr>
        <w:t>р</w:t>
      </w:r>
      <w:r w:rsidR="00B42503" w:rsidRPr="00003139">
        <w:rPr>
          <w:rFonts w:ascii="Times New Roman" w:hAnsi="Times New Roman" w:cs="Times New Roman"/>
          <w:sz w:val="28"/>
          <w:szCs w:val="28"/>
        </w:rPr>
        <w:t>ынок Российской Федерации и для 1,8% предприятий –рынки стран дальнего зарубежья.</w:t>
      </w:r>
    </w:p>
    <w:p w:rsidR="003C07B3" w:rsidRDefault="003C07B3" w:rsidP="009E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7B3" w:rsidRDefault="003C07B3" w:rsidP="009E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B3">
        <w:rPr>
          <w:rFonts w:ascii="Times New Roman" w:hAnsi="Times New Roman" w:cs="Times New Roman"/>
          <w:sz w:val="28"/>
          <w:szCs w:val="28"/>
        </w:rPr>
        <w:tab/>
      </w:r>
      <w:r w:rsidRPr="003C07B3">
        <w:rPr>
          <w:rFonts w:ascii="Times New Roman" w:hAnsi="Times New Roman" w:cs="Times New Roman"/>
          <w:sz w:val="28"/>
          <w:szCs w:val="28"/>
        </w:rPr>
        <w:tab/>
      </w:r>
      <w:r w:rsidRPr="003C07B3">
        <w:rPr>
          <w:rFonts w:ascii="Times New Roman" w:hAnsi="Times New Roman" w:cs="Times New Roman"/>
          <w:sz w:val="28"/>
          <w:szCs w:val="28"/>
        </w:rPr>
        <w:tab/>
      </w:r>
      <w:r w:rsidRPr="003C07B3">
        <w:rPr>
          <w:rFonts w:ascii="Times New Roman" w:hAnsi="Times New Roman" w:cs="Times New Roman"/>
          <w:sz w:val="28"/>
          <w:szCs w:val="28"/>
        </w:rPr>
        <w:tab/>
      </w:r>
      <w:r w:rsidRPr="003C07B3">
        <w:rPr>
          <w:rFonts w:ascii="Times New Roman" w:hAnsi="Times New Roman" w:cs="Times New Roman"/>
          <w:sz w:val="28"/>
          <w:szCs w:val="28"/>
        </w:rPr>
        <w:tab/>
      </w:r>
    </w:p>
    <w:p w:rsidR="003C07B3" w:rsidRDefault="003C07B3" w:rsidP="000A4D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A4D95">
        <w:rPr>
          <w:rFonts w:ascii="Times New Roman" w:hAnsi="Times New Roman" w:cs="Times New Roman"/>
          <w:b/>
          <w:i/>
          <w:sz w:val="32"/>
          <w:szCs w:val="32"/>
          <w:u w:val="single"/>
        </w:rPr>
        <w:t>Оценка барьеров ведения предпринимательской деятельности</w:t>
      </w:r>
    </w:p>
    <w:p w:rsidR="001F7A01" w:rsidRDefault="001F7A01" w:rsidP="001F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Pr="00606C47" w:rsidRDefault="003B33E0" w:rsidP="001F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E0">
        <w:rPr>
          <w:rFonts w:ascii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барьеры, которые являются наиболее существе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для ведения  текущей деятельности или открытия нового бизнеса на рынке, основном для бизнеса, который представляют </w:t>
      </w:r>
      <w:r w:rsidR="001F7A01">
        <w:rPr>
          <w:rFonts w:ascii="Times New Roman" w:hAnsi="Times New Roman" w:cs="Times New Roman"/>
          <w:sz w:val="28"/>
          <w:szCs w:val="28"/>
        </w:rPr>
        <w:t xml:space="preserve">респонденты, </w:t>
      </w:r>
      <w:r w:rsidR="000A4D95">
        <w:rPr>
          <w:rFonts w:ascii="Times New Roman" w:hAnsi="Times New Roman" w:cs="Times New Roman"/>
          <w:sz w:val="28"/>
          <w:szCs w:val="28"/>
        </w:rPr>
        <w:t>привед</w:t>
      </w:r>
      <w:r w:rsidR="000A4D95">
        <w:rPr>
          <w:rFonts w:ascii="Times New Roman" w:hAnsi="Times New Roman" w:cs="Times New Roman"/>
          <w:sz w:val="28"/>
          <w:szCs w:val="28"/>
        </w:rPr>
        <w:t>е</w:t>
      </w:r>
      <w:r w:rsidR="000A4D95">
        <w:rPr>
          <w:rFonts w:ascii="Times New Roman" w:hAnsi="Times New Roman" w:cs="Times New Roman"/>
          <w:sz w:val="28"/>
          <w:szCs w:val="28"/>
        </w:rPr>
        <w:t>ны в таблице:</w:t>
      </w:r>
    </w:p>
    <w:p w:rsidR="005D584E" w:rsidRDefault="005D584E" w:rsidP="00586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93" w:type="dxa"/>
        <w:tblLayout w:type="fixed"/>
        <w:tblLook w:val="04A0"/>
      </w:tblPr>
      <w:tblGrid>
        <w:gridCol w:w="4835"/>
        <w:gridCol w:w="1114"/>
        <w:gridCol w:w="25"/>
        <w:gridCol w:w="1271"/>
        <w:gridCol w:w="992"/>
        <w:gridCol w:w="1085"/>
      </w:tblGrid>
      <w:tr w:rsidR="009B4802" w:rsidRPr="00606C47" w:rsidTr="006A4AC7">
        <w:trPr>
          <w:trHeight w:val="5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B4802" w:rsidRPr="009B4802" w:rsidRDefault="009B4802" w:rsidP="006A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00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барьера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2" w:rsidRPr="009B4802" w:rsidRDefault="006A4AC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5A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барь</w:t>
            </w:r>
            <w:r w:rsidR="005A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5A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ров,ед</w:t>
            </w:r>
            <w:r w:rsidR="009B4802"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2" w:rsidRPr="009B4802" w:rsidRDefault="006A4AC7" w:rsidP="0054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r w:rsidR="00544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барьера</w:t>
            </w:r>
            <w:r w:rsidR="009B4802"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%</w:t>
            </w:r>
          </w:p>
        </w:tc>
      </w:tr>
      <w:tr w:rsidR="006A4AC7" w:rsidRPr="00606C47" w:rsidTr="006A4AC7">
        <w:trPr>
          <w:trHeight w:val="438"/>
        </w:trPr>
        <w:tc>
          <w:tcPr>
            <w:tcW w:w="4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AC7" w:rsidRPr="009B4802" w:rsidRDefault="006A4AC7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AC7" w:rsidRPr="009B4802" w:rsidRDefault="006A4AC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AC7" w:rsidRPr="009B4802" w:rsidRDefault="006A4AC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C7" w:rsidRPr="009B4802" w:rsidRDefault="006A4AC7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AC7" w:rsidRPr="009B4802" w:rsidRDefault="006A4AC7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544A89" w:rsidRPr="00606C47" w:rsidTr="00544A89">
        <w:trPr>
          <w:trHeight w:val="33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Сложность получения доступа к земельным участкам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44A89" w:rsidRPr="00606C47" w:rsidTr="00544A89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Нестабильность российского законодател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регулирующего предпринимательскую деятельность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44A89" w:rsidRPr="00606C47" w:rsidTr="00544A89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 (включая взятки, дискримин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предоставление преференций отдел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участникам на заведомо неравных у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ловиях)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44A89" w:rsidRPr="00606C47" w:rsidTr="00544A8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Сложность/ затянутость процедуры получ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лицензий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44A89" w:rsidRPr="00606C47" w:rsidTr="00884A77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Высокие налоги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44A89" w:rsidRPr="00606C47" w:rsidTr="00544A89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44A89" w:rsidRPr="00606C47" w:rsidTr="00544A89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Ограничение/ сложность доступа к закупкам компаний с госучастием и субъектов естес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монополий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44A89" w:rsidRPr="00606C47" w:rsidTr="00544A89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Ограничение/ сложность доступа к поста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товаров, оказанию услуг и выполнению работ в рамках госзакупок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44A89" w:rsidRPr="00606C47" w:rsidTr="00544A8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органами власти инициатив по организации совместной деятельности м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предприятий (например, в части созд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совместных предприятий, кооперативов и др.)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89" w:rsidRPr="00606C47" w:rsidTr="00544A89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действия/ давление со стороны орг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власти, препятствующие ведению би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 на рынке или входу на рынок новых участников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44A89" w:rsidRPr="00606C47" w:rsidTr="00544A89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Силовое давление со стороны правоохран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органов (угрозы, вымогательства и т.д.)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44A89" w:rsidRPr="00606C47" w:rsidTr="00544A8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ограничений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44A89" w:rsidRPr="00606C47" w:rsidTr="00544A8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A89" w:rsidRPr="00606C47" w:rsidRDefault="00544A89" w:rsidP="006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9" w:rsidRDefault="00544A89" w:rsidP="005A2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9" w:rsidRPr="00544A89" w:rsidRDefault="00544A89" w:rsidP="0054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606C47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9" w:rsidRPr="009B4802" w:rsidRDefault="00544A89" w:rsidP="009B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E365D" w:rsidRPr="00544A89" w:rsidRDefault="002870E1" w:rsidP="0044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89">
        <w:rPr>
          <w:rFonts w:ascii="Times New Roman" w:hAnsi="Times New Roman" w:cs="Times New Roman"/>
          <w:sz w:val="28"/>
          <w:szCs w:val="28"/>
        </w:rPr>
        <w:t>Мониторинг</w:t>
      </w:r>
      <w:r w:rsidR="009B4802" w:rsidRPr="00544A89">
        <w:rPr>
          <w:rFonts w:ascii="Times New Roman" w:hAnsi="Times New Roman" w:cs="Times New Roman"/>
          <w:sz w:val="28"/>
          <w:szCs w:val="28"/>
        </w:rPr>
        <w:t xml:space="preserve"> наличия административных барьеров</w:t>
      </w:r>
      <w:r w:rsidRPr="00544A89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9E365D" w:rsidRPr="00544A89">
        <w:rPr>
          <w:rFonts w:ascii="Times New Roman" w:hAnsi="Times New Roman" w:cs="Times New Roman"/>
          <w:sz w:val="28"/>
          <w:szCs w:val="28"/>
        </w:rPr>
        <w:t>, что пре</w:t>
      </w:r>
      <w:r w:rsidR="009E365D" w:rsidRPr="00544A89">
        <w:rPr>
          <w:rFonts w:ascii="Times New Roman" w:hAnsi="Times New Roman" w:cs="Times New Roman"/>
          <w:sz w:val="28"/>
          <w:szCs w:val="28"/>
        </w:rPr>
        <w:t>д</w:t>
      </w:r>
      <w:r w:rsidR="009E365D" w:rsidRPr="00544A89">
        <w:rPr>
          <w:rFonts w:ascii="Times New Roman" w:hAnsi="Times New Roman" w:cs="Times New Roman"/>
          <w:sz w:val="28"/>
          <w:szCs w:val="28"/>
        </w:rPr>
        <w:t>приниматели</w:t>
      </w:r>
      <w:r w:rsidRPr="00544A89">
        <w:rPr>
          <w:rFonts w:ascii="Times New Roman" w:hAnsi="Times New Roman" w:cs="Times New Roman"/>
          <w:sz w:val="28"/>
          <w:szCs w:val="28"/>
        </w:rPr>
        <w:t xml:space="preserve">города – курорта Пятигорска  </w:t>
      </w:r>
      <w:r w:rsidR="009E365D" w:rsidRPr="00544A89">
        <w:rPr>
          <w:rFonts w:ascii="Times New Roman" w:hAnsi="Times New Roman" w:cs="Times New Roman"/>
          <w:sz w:val="28"/>
          <w:szCs w:val="28"/>
        </w:rPr>
        <w:t xml:space="preserve">в своей деятельности наиболее часто в качестве самого большого препятствия для ведения бизнеса </w:t>
      </w:r>
      <w:r w:rsidR="00F841B3" w:rsidRPr="00544A89">
        <w:rPr>
          <w:rFonts w:ascii="Times New Roman" w:hAnsi="Times New Roman" w:cs="Times New Roman"/>
          <w:sz w:val="28"/>
          <w:szCs w:val="28"/>
        </w:rPr>
        <w:t>отмеча</w:t>
      </w:r>
      <w:r w:rsidRPr="00544A89">
        <w:rPr>
          <w:rFonts w:ascii="Times New Roman" w:hAnsi="Times New Roman" w:cs="Times New Roman"/>
          <w:sz w:val="28"/>
          <w:szCs w:val="28"/>
        </w:rPr>
        <w:t>ют</w:t>
      </w:r>
      <w:r w:rsidR="00F841B3" w:rsidRPr="00544A89">
        <w:rPr>
          <w:rFonts w:ascii="Times New Roman" w:hAnsi="Times New Roman" w:cs="Times New Roman"/>
          <w:sz w:val="28"/>
          <w:szCs w:val="28"/>
        </w:rPr>
        <w:t xml:space="preserve"> высокие налоги (31</w:t>
      </w:r>
      <w:r w:rsidR="009E365D" w:rsidRPr="00544A89">
        <w:rPr>
          <w:rFonts w:ascii="Times New Roman" w:hAnsi="Times New Roman" w:cs="Times New Roman"/>
          <w:sz w:val="28"/>
          <w:szCs w:val="28"/>
        </w:rPr>
        <w:t>%), нестабильность российского законодательства, рег</w:t>
      </w:r>
      <w:r w:rsidR="009E365D" w:rsidRPr="00544A89">
        <w:rPr>
          <w:rFonts w:ascii="Times New Roman" w:hAnsi="Times New Roman" w:cs="Times New Roman"/>
          <w:sz w:val="28"/>
          <w:szCs w:val="28"/>
        </w:rPr>
        <w:t>у</w:t>
      </w:r>
      <w:r w:rsidR="009E365D" w:rsidRPr="00544A89">
        <w:rPr>
          <w:rFonts w:ascii="Times New Roman" w:hAnsi="Times New Roman" w:cs="Times New Roman"/>
          <w:sz w:val="28"/>
          <w:szCs w:val="28"/>
        </w:rPr>
        <w:t>лирующего предпр</w:t>
      </w:r>
      <w:r w:rsidR="00F841B3" w:rsidRPr="00544A89">
        <w:rPr>
          <w:rFonts w:ascii="Times New Roman" w:hAnsi="Times New Roman" w:cs="Times New Roman"/>
          <w:sz w:val="28"/>
          <w:szCs w:val="28"/>
        </w:rPr>
        <w:t>инимательскую деятельность (27,2</w:t>
      </w:r>
      <w:r w:rsidRPr="00544A89">
        <w:rPr>
          <w:rFonts w:ascii="Times New Roman" w:hAnsi="Times New Roman" w:cs="Times New Roman"/>
          <w:sz w:val="28"/>
          <w:szCs w:val="28"/>
        </w:rPr>
        <w:t>%) и н</w:t>
      </w:r>
      <w:r w:rsidR="009E365D" w:rsidRPr="00544A89">
        <w:rPr>
          <w:rFonts w:ascii="Times New Roman" w:hAnsi="Times New Roman" w:cs="Times New Roman"/>
          <w:sz w:val="28"/>
          <w:szCs w:val="28"/>
        </w:rPr>
        <w:t>есколько реже  сложность/затянутость процедуры получения ли</w:t>
      </w:r>
      <w:r w:rsidRPr="00544A89">
        <w:rPr>
          <w:rFonts w:ascii="Times New Roman" w:hAnsi="Times New Roman" w:cs="Times New Roman"/>
          <w:sz w:val="28"/>
          <w:szCs w:val="28"/>
        </w:rPr>
        <w:t>цензий (10,9</w:t>
      </w:r>
      <w:r w:rsidR="009E365D" w:rsidRPr="00544A89">
        <w:rPr>
          <w:rFonts w:ascii="Times New Roman" w:hAnsi="Times New Roman" w:cs="Times New Roman"/>
          <w:sz w:val="28"/>
          <w:szCs w:val="28"/>
        </w:rPr>
        <w:t>%).</w:t>
      </w:r>
    </w:p>
    <w:p w:rsidR="00606C47" w:rsidRDefault="009E365D" w:rsidP="0085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8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56104" w:rsidRPr="00544A89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Pr="00544A89">
        <w:rPr>
          <w:rFonts w:ascii="Times New Roman" w:hAnsi="Times New Roman" w:cs="Times New Roman"/>
          <w:sz w:val="28"/>
          <w:szCs w:val="28"/>
        </w:rPr>
        <w:t>административные барьеры оц</w:t>
      </w:r>
      <w:r w:rsidRPr="00544A89">
        <w:rPr>
          <w:rFonts w:ascii="Times New Roman" w:hAnsi="Times New Roman" w:cs="Times New Roman"/>
          <w:sz w:val="28"/>
          <w:szCs w:val="28"/>
        </w:rPr>
        <w:t>е</w:t>
      </w:r>
      <w:r w:rsidRPr="00544A89">
        <w:rPr>
          <w:rFonts w:ascii="Times New Roman" w:hAnsi="Times New Roman" w:cs="Times New Roman"/>
          <w:sz w:val="28"/>
          <w:szCs w:val="28"/>
        </w:rPr>
        <w:t>ниваются  бизнес-сообществом как достаточно серьезные препятствия для ведения предпринимательской деятельности.</w:t>
      </w:r>
    </w:p>
    <w:p w:rsidR="00606C47" w:rsidRDefault="00606C47" w:rsidP="0060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Default="00606C47" w:rsidP="0060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Default="00AE3BEF" w:rsidP="00AE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7819" cy="3912042"/>
            <wp:effectExtent l="38100" t="38100" r="74295" b="6985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3BEF" w:rsidRDefault="00AE3BEF" w:rsidP="00AE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CC3">
        <w:rPr>
          <w:rFonts w:ascii="Times New Roman" w:hAnsi="Times New Roman" w:cs="Times New Roman"/>
          <w:sz w:val="28"/>
          <w:szCs w:val="28"/>
        </w:rPr>
        <w:t>Оценивая степень влияния органов власти на конкурентную среду г</w:t>
      </w:r>
      <w:r w:rsidRPr="004C2CC3">
        <w:rPr>
          <w:rFonts w:ascii="Times New Roman" w:hAnsi="Times New Roman" w:cs="Times New Roman"/>
          <w:sz w:val="28"/>
          <w:szCs w:val="28"/>
        </w:rPr>
        <w:t>о</w:t>
      </w:r>
      <w:r w:rsidRPr="004C2CC3">
        <w:rPr>
          <w:rFonts w:ascii="Times New Roman" w:hAnsi="Times New Roman" w:cs="Times New Roman"/>
          <w:sz w:val="28"/>
          <w:szCs w:val="28"/>
        </w:rPr>
        <w:t>рода – курорта Пятигорска</w:t>
      </w:r>
      <w:r w:rsidR="004C2CC3" w:rsidRPr="004C2CC3">
        <w:rPr>
          <w:rFonts w:ascii="Times New Roman" w:hAnsi="Times New Roman" w:cs="Times New Roman"/>
          <w:sz w:val="28"/>
          <w:szCs w:val="28"/>
        </w:rPr>
        <w:t>,</w:t>
      </w:r>
      <w:r w:rsidR="005970DA" w:rsidRPr="004C2CC3">
        <w:rPr>
          <w:rFonts w:ascii="Times New Roman" w:hAnsi="Times New Roman" w:cs="Times New Roman"/>
          <w:sz w:val="28"/>
          <w:szCs w:val="28"/>
        </w:rPr>
        <w:t xml:space="preserve"> 40</w:t>
      </w:r>
      <w:r w:rsidRPr="004C2CC3">
        <w:rPr>
          <w:rFonts w:ascii="Times New Roman" w:hAnsi="Times New Roman" w:cs="Times New Roman"/>
          <w:sz w:val="28"/>
          <w:szCs w:val="28"/>
        </w:rPr>
        <w:t>% респондентов считают, что органы власти помогают бизнесу своими действия</w:t>
      </w:r>
      <w:r w:rsidR="005970DA" w:rsidRPr="004C2CC3">
        <w:rPr>
          <w:rFonts w:ascii="Times New Roman" w:hAnsi="Times New Roman" w:cs="Times New Roman"/>
          <w:sz w:val="28"/>
          <w:szCs w:val="28"/>
        </w:rPr>
        <w:t>ми, 20</w:t>
      </w:r>
      <w:r w:rsidRPr="004C2CC3">
        <w:rPr>
          <w:rFonts w:ascii="Times New Roman" w:hAnsi="Times New Roman" w:cs="Times New Roman"/>
          <w:sz w:val="28"/>
          <w:szCs w:val="28"/>
        </w:rPr>
        <w:t>% респондентов указали, что в чем-то органы власти помо</w:t>
      </w:r>
      <w:r w:rsidR="00D01E32" w:rsidRPr="004C2CC3">
        <w:rPr>
          <w:rFonts w:ascii="Times New Roman" w:hAnsi="Times New Roman" w:cs="Times New Roman"/>
          <w:sz w:val="28"/>
          <w:szCs w:val="28"/>
        </w:rPr>
        <w:t>гают, в чем-то мешают и 1,8</w:t>
      </w:r>
      <w:r w:rsidRPr="004C2CC3">
        <w:rPr>
          <w:rFonts w:ascii="Times New Roman" w:hAnsi="Times New Roman" w:cs="Times New Roman"/>
          <w:sz w:val="28"/>
          <w:szCs w:val="28"/>
        </w:rPr>
        <w:t xml:space="preserve">% опрошенных считают, </w:t>
      </w:r>
      <w:r w:rsidR="00D01E32" w:rsidRPr="004C2CC3">
        <w:rPr>
          <w:rFonts w:ascii="Times New Roman" w:hAnsi="Times New Roman" w:cs="Times New Roman"/>
          <w:sz w:val="28"/>
          <w:szCs w:val="28"/>
        </w:rPr>
        <w:t xml:space="preserve">что </w:t>
      </w:r>
      <w:r w:rsidRPr="004C2CC3">
        <w:rPr>
          <w:rFonts w:ascii="Times New Roman" w:hAnsi="Times New Roman" w:cs="Times New Roman"/>
          <w:sz w:val="28"/>
          <w:szCs w:val="28"/>
        </w:rPr>
        <w:t>органы власти только меш</w:t>
      </w:r>
      <w:r w:rsidR="00D01E32" w:rsidRPr="004C2CC3">
        <w:rPr>
          <w:rFonts w:ascii="Times New Roman" w:hAnsi="Times New Roman" w:cs="Times New Roman"/>
          <w:sz w:val="28"/>
          <w:szCs w:val="28"/>
        </w:rPr>
        <w:t>ают бизнесу своими действиями.</w:t>
      </w:r>
    </w:p>
    <w:p w:rsidR="00667C7A" w:rsidRPr="00866A64" w:rsidRDefault="00884A77" w:rsidP="00866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4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  <w:r w:rsidR="00667C7A" w:rsidRPr="00866A64">
        <w:rPr>
          <w:rFonts w:ascii="Times New Roman" w:hAnsi="Times New Roman" w:cs="Times New Roman"/>
          <w:b/>
          <w:sz w:val="28"/>
          <w:szCs w:val="28"/>
        </w:rPr>
        <w:t xml:space="preserve"> респондентами действий органов власти  в 2018 году по срав</w:t>
      </w:r>
      <w:r w:rsidR="00866A64" w:rsidRPr="00866A64">
        <w:rPr>
          <w:rFonts w:ascii="Times New Roman" w:hAnsi="Times New Roman" w:cs="Times New Roman"/>
          <w:b/>
          <w:sz w:val="28"/>
          <w:szCs w:val="28"/>
        </w:rPr>
        <w:t>нению с 2017 годом</w:t>
      </w:r>
    </w:p>
    <w:tbl>
      <w:tblPr>
        <w:tblW w:w="9371" w:type="dxa"/>
        <w:tblInd w:w="93" w:type="dxa"/>
        <w:tblLayout w:type="fixed"/>
        <w:tblLook w:val="04A0"/>
      </w:tblPr>
      <w:tblGrid>
        <w:gridCol w:w="4835"/>
        <w:gridCol w:w="1134"/>
        <w:gridCol w:w="1134"/>
        <w:gridCol w:w="1134"/>
        <w:gridCol w:w="1134"/>
      </w:tblGrid>
      <w:tr w:rsidR="00884A77" w:rsidRPr="00667C7A" w:rsidTr="00884A77">
        <w:trPr>
          <w:trHeight w:val="5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6F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4A77" w:rsidRPr="009B4802" w:rsidRDefault="00884A7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пондентов</w:t>
            </w:r>
            <w:r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чел</w:t>
            </w:r>
            <w:r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6F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показателя,  %</w:t>
            </w:r>
          </w:p>
        </w:tc>
      </w:tr>
      <w:tr w:rsidR="00884A77" w:rsidRPr="00667C7A" w:rsidTr="00884A77">
        <w:trPr>
          <w:trHeight w:val="438"/>
        </w:trPr>
        <w:tc>
          <w:tcPr>
            <w:tcW w:w="4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6F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9B4802" w:rsidRDefault="00884A77" w:rsidP="005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9B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77" w:rsidRPr="00667C7A" w:rsidRDefault="00884A77" w:rsidP="006F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77" w:rsidRPr="00667C7A" w:rsidRDefault="00884A77" w:rsidP="006F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6F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884A77" w:rsidRPr="00667C7A" w:rsidTr="00884A77">
        <w:trPr>
          <w:trHeight w:val="380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A77" w:rsidRPr="00667C7A" w:rsidRDefault="00884A77" w:rsidP="0059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884A77" w:rsidRPr="00667C7A" w:rsidTr="00884A77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A77" w:rsidRPr="00667C7A" w:rsidRDefault="00884A77" w:rsidP="0059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884A77" w:rsidRPr="00667C7A" w:rsidTr="00884A7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A77" w:rsidRPr="00667C7A" w:rsidRDefault="00884A77" w:rsidP="0059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84A77" w:rsidRPr="00667C7A" w:rsidTr="00884A77">
        <w:trPr>
          <w:trHeight w:val="6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A77" w:rsidRPr="00667C7A" w:rsidRDefault="00884A77" w:rsidP="0059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84A77" w:rsidRPr="00667C7A" w:rsidTr="00884A7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A77" w:rsidRPr="00667C7A" w:rsidRDefault="00884A77" w:rsidP="0059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84A77" w:rsidRPr="00667C7A" w:rsidTr="00884A77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A77" w:rsidRPr="00667C7A" w:rsidRDefault="00884A77" w:rsidP="0059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77" w:rsidRPr="00884A77" w:rsidRDefault="00884A77" w:rsidP="008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77" w:rsidRPr="00667C7A" w:rsidRDefault="00884A77" w:rsidP="004C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606C47" w:rsidRDefault="00667C7A" w:rsidP="0021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C7A">
        <w:rPr>
          <w:rFonts w:ascii="Times New Roman" w:hAnsi="Times New Roman" w:cs="Times New Roman"/>
          <w:sz w:val="28"/>
          <w:szCs w:val="28"/>
        </w:rPr>
        <w:t>Анализ оценки респондентами действий органов власти  в 2018</w:t>
      </w:r>
      <w:r w:rsidR="00884A77">
        <w:rPr>
          <w:rFonts w:ascii="Times New Roman" w:hAnsi="Times New Roman" w:cs="Times New Roman"/>
          <w:sz w:val="28"/>
          <w:szCs w:val="28"/>
        </w:rPr>
        <w:t xml:space="preserve"> году по сравнению с 2017 годом</w:t>
      </w:r>
      <w:r w:rsidR="00C46243">
        <w:rPr>
          <w:rFonts w:ascii="Times New Roman" w:hAnsi="Times New Roman" w:cs="Times New Roman"/>
          <w:sz w:val="28"/>
          <w:szCs w:val="28"/>
        </w:rPr>
        <w:t xml:space="preserve"> показал положительную динамику и</w:t>
      </w:r>
      <w:r w:rsidR="00884A77">
        <w:rPr>
          <w:rFonts w:ascii="Times New Roman" w:hAnsi="Times New Roman" w:cs="Times New Roman"/>
          <w:sz w:val="28"/>
          <w:szCs w:val="28"/>
        </w:rPr>
        <w:t xml:space="preserve"> это говорит о том, что органы власти видят проблемы бизнеса  и в меру своих полномочий по</w:t>
      </w:r>
      <w:r w:rsidR="00C46243">
        <w:rPr>
          <w:rFonts w:ascii="Times New Roman" w:hAnsi="Times New Roman" w:cs="Times New Roman"/>
          <w:sz w:val="28"/>
          <w:szCs w:val="28"/>
        </w:rPr>
        <w:t>могают бизнесу</w:t>
      </w:r>
      <w:r w:rsidR="00884A77">
        <w:rPr>
          <w:rFonts w:ascii="Times New Roman" w:hAnsi="Times New Roman" w:cs="Times New Roman"/>
          <w:sz w:val="28"/>
          <w:szCs w:val="28"/>
        </w:rPr>
        <w:t xml:space="preserve"> своими действиями.</w:t>
      </w:r>
    </w:p>
    <w:p w:rsidR="00056FB3" w:rsidRDefault="00056FB3" w:rsidP="0005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B3" w:rsidRDefault="009F5D8B" w:rsidP="009F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7819" cy="3912042"/>
            <wp:effectExtent l="38100" t="38100" r="74295" b="69850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6FB3" w:rsidRDefault="00056FB3" w:rsidP="00F8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E32" w:rsidRDefault="00EA2EAB" w:rsidP="00F8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2EAB">
        <w:rPr>
          <w:rFonts w:ascii="Times New Roman" w:hAnsi="Times New Roman" w:cs="Times New Roman"/>
          <w:sz w:val="28"/>
          <w:szCs w:val="28"/>
        </w:rPr>
        <w:t xml:space="preserve">ля ведения деятельности и открытия нового бизнеса на рынке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2EAB">
        <w:rPr>
          <w:rFonts w:ascii="Times New Roman" w:hAnsi="Times New Roman" w:cs="Times New Roman"/>
          <w:sz w:val="28"/>
          <w:szCs w:val="28"/>
        </w:rPr>
        <w:t>ажным признаком со</w:t>
      </w:r>
      <w:r w:rsidR="009C7B8D">
        <w:rPr>
          <w:rFonts w:ascii="Times New Roman" w:hAnsi="Times New Roman" w:cs="Times New Roman"/>
          <w:sz w:val="28"/>
          <w:szCs w:val="28"/>
        </w:rPr>
        <w:t>стояния конкурентной среды являе</w:t>
      </w:r>
      <w:r w:rsidRPr="00EA2EAB">
        <w:rPr>
          <w:rFonts w:ascii="Times New Roman" w:hAnsi="Times New Roman" w:cs="Times New Roman"/>
          <w:sz w:val="28"/>
          <w:szCs w:val="28"/>
        </w:rPr>
        <w:t>тся оценка субъектами пре</w:t>
      </w:r>
      <w:r w:rsidRPr="00EA2EAB">
        <w:rPr>
          <w:rFonts w:ascii="Times New Roman" w:hAnsi="Times New Roman" w:cs="Times New Roman"/>
          <w:sz w:val="28"/>
          <w:szCs w:val="28"/>
        </w:rPr>
        <w:t>д</w:t>
      </w:r>
      <w:r w:rsidRPr="00EA2EAB">
        <w:rPr>
          <w:rFonts w:ascii="Times New Roman" w:hAnsi="Times New Roman" w:cs="Times New Roman"/>
          <w:sz w:val="28"/>
          <w:szCs w:val="28"/>
        </w:rPr>
        <w:t>принимательства преодоления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>. По мнению 38,2</w:t>
      </w:r>
      <w:r w:rsidRPr="00EA2EAB">
        <w:rPr>
          <w:rFonts w:ascii="Times New Roman" w:hAnsi="Times New Roman" w:cs="Times New Roman"/>
          <w:sz w:val="28"/>
          <w:szCs w:val="28"/>
        </w:rPr>
        <w:t>% опрошенных предпринимателей, барьеры есть, но они преодоли</w:t>
      </w:r>
      <w:r w:rsidR="005D2287">
        <w:rPr>
          <w:rFonts w:ascii="Times New Roman" w:hAnsi="Times New Roman" w:cs="Times New Roman"/>
          <w:sz w:val="28"/>
          <w:szCs w:val="28"/>
        </w:rPr>
        <w:t xml:space="preserve">мы без существенных затрат, </w:t>
      </w:r>
      <w:r>
        <w:rPr>
          <w:rFonts w:ascii="Times New Roman" w:hAnsi="Times New Roman" w:cs="Times New Roman"/>
          <w:sz w:val="28"/>
          <w:szCs w:val="28"/>
        </w:rPr>
        <w:t>30,9</w:t>
      </w:r>
      <w:r w:rsidRPr="00EA2EAB">
        <w:rPr>
          <w:rFonts w:ascii="Times New Roman" w:hAnsi="Times New Roman" w:cs="Times New Roman"/>
          <w:sz w:val="28"/>
          <w:szCs w:val="28"/>
        </w:rPr>
        <w:t>% опрошенных вообще не видят в своей деятел</w:t>
      </w:r>
      <w:r w:rsidRPr="00EA2EAB">
        <w:rPr>
          <w:rFonts w:ascii="Times New Roman" w:hAnsi="Times New Roman" w:cs="Times New Roman"/>
          <w:sz w:val="28"/>
          <w:szCs w:val="28"/>
        </w:rPr>
        <w:t>ь</w:t>
      </w:r>
      <w:r w:rsidRPr="00EA2EAB">
        <w:rPr>
          <w:rFonts w:ascii="Times New Roman" w:hAnsi="Times New Roman" w:cs="Times New Roman"/>
          <w:sz w:val="28"/>
          <w:szCs w:val="28"/>
        </w:rPr>
        <w:t>ности админи</w:t>
      </w:r>
      <w:r>
        <w:rPr>
          <w:rFonts w:ascii="Times New Roman" w:hAnsi="Times New Roman" w:cs="Times New Roman"/>
          <w:sz w:val="28"/>
          <w:szCs w:val="28"/>
        </w:rPr>
        <w:t>стративных барьеров,</w:t>
      </w:r>
      <w:r w:rsidR="005D2287" w:rsidRPr="005D2287">
        <w:rPr>
          <w:rFonts w:ascii="Times New Roman" w:hAnsi="Times New Roman" w:cs="Times New Roman"/>
          <w:sz w:val="28"/>
          <w:szCs w:val="28"/>
        </w:rPr>
        <w:t xml:space="preserve">10,9% считают, что административные барьеры есть и преодолимы при осуществлении значительных затрат, </w:t>
      </w:r>
      <w:r>
        <w:rPr>
          <w:rFonts w:ascii="Times New Roman" w:hAnsi="Times New Roman" w:cs="Times New Roman"/>
          <w:sz w:val="28"/>
          <w:szCs w:val="28"/>
        </w:rPr>
        <w:t xml:space="preserve"> а 1,8</w:t>
      </w:r>
      <w:r w:rsidRPr="00EA2EAB">
        <w:rPr>
          <w:rFonts w:ascii="Times New Roman" w:hAnsi="Times New Roman" w:cs="Times New Roman"/>
          <w:sz w:val="28"/>
          <w:szCs w:val="28"/>
        </w:rPr>
        <w:t>% опрошенных столкнулись с непреодолимыми административными барьер</w:t>
      </w:r>
      <w:r w:rsidRPr="00EA2EAB">
        <w:rPr>
          <w:rFonts w:ascii="Times New Roman" w:hAnsi="Times New Roman" w:cs="Times New Roman"/>
          <w:sz w:val="28"/>
          <w:szCs w:val="28"/>
        </w:rPr>
        <w:t>а</w:t>
      </w:r>
      <w:r w:rsidRPr="00EA2EA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24F" w:rsidRDefault="0084724F" w:rsidP="002B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76" w:rsidRPr="00866A64" w:rsidRDefault="002B0276" w:rsidP="00866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6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4724F" w:rsidRPr="00866A64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866A64">
        <w:rPr>
          <w:rFonts w:ascii="Times New Roman" w:hAnsi="Times New Roman" w:cs="Times New Roman"/>
          <w:b/>
          <w:sz w:val="28"/>
          <w:szCs w:val="28"/>
        </w:rPr>
        <w:t>уровня административных барьеров на рынке, основном для бизнеса, который представляют респонденты,</w:t>
      </w:r>
      <w:r w:rsidR="0084724F" w:rsidRPr="00866A64">
        <w:rPr>
          <w:rFonts w:ascii="Times New Roman" w:hAnsi="Times New Roman" w:cs="Times New Roman"/>
          <w:b/>
          <w:sz w:val="28"/>
          <w:szCs w:val="28"/>
        </w:rPr>
        <w:t xml:space="preserve"> в течение последних трех лет</w:t>
      </w:r>
    </w:p>
    <w:p w:rsidR="00FA22CC" w:rsidRDefault="00FA22CC" w:rsidP="008472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DF7" w:rsidRDefault="006F44C1" w:rsidP="006F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4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8985" cy="34486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6DF7" w:rsidRDefault="00536DF7" w:rsidP="0083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60" w:rsidRPr="0084724F" w:rsidRDefault="009F256F" w:rsidP="000E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4F">
        <w:rPr>
          <w:rFonts w:ascii="Times New Roman" w:hAnsi="Times New Roman" w:cs="Times New Roman"/>
          <w:sz w:val="28"/>
          <w:szCs w:val="28"/>
        </w:rPr>
        <w:t>Оценивая  динамику  проблемы  административных  барьеров</w:t>
      </w:r>
      <w:r w:rsidR="006A01DA" w:rsidRPr="0084724F">
        <w:rPr>
          <w:rFonts w:ascii="Times New Roman" w:hAnsi="Times New Roman" w:cs="Times New Roman"/>
          <w:sz w:val="28"/>
          <w:szCs w:val="28"/>
        </w:rPr>
        <w:t xml:space="preserve"> в теч</w:t>
      </w:r>
      <w:r w:rsidR="006A01DA" w:rsidRPr="0084724F">
        <w:rPr>
          <w:rFonts w:ascii="Times New Roman" w:hAnsi="Times New Roman" w:cs="Times New Roman"/>
          <w:sz w:val="28"/>
          <w:szCs w:val="28"/>
        </w:rPr>
        <w:t>е</w:t>
      </w:r>
      <w:r w:rsidR="006A01DA" w:rsidRPr="0084724F">
        <w:rPr>
          <w:rFonts w:ascii="Times New Roman" w:hAnsi="Times New Roman" w:cs="Times New Roman"/>
          <w:sz w:val="28"/>
          <w:szCs w:val="28"/>
        </w:rPr>
        <w:t>ние последних 3 лет,</w:t>
      </w:r>
      <w:r w:rsidR="00FC0960" w:rsidRPr="0084724F">
        <w:rPr>
          <w:rFonts w:ascii="Times New Roman" w:hAnsi="Times New Roman" w:cs="Times New Roman"/>
          <w:sz w:val="28"/>
          <w:szCs w:val="28"/>
        </w:rPr>
        <w:t>мы видим:</w:t>
      </w:r>
    </w:p>
    <w:p w:rsidR="009F33D8" w:rsidRPr="0084724F" w:rsidRDefault="009F33D8" w:rsidP="000E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4F">
        <w:rPr>
          <w:rFonts w:ascii="Times New Roman" w:hAnsi="Times New Roman" w:cs="Times New Roman"/>
          <w:sz w:val="28"/>
          <w:szCs w:val="28"/>
        </w:rPr>
        <w:t>- стало проще преодолевать а</w:t>
      </w:r>
      <w:r w:rsidR="00BF5F7F" w:rsidRPr="0084724F">
        <w:rPr>
          <w:rFonts w:ascii="Times New Roman" w:hAnsi="Times New Roman" w:cs="Times New Roman"/>
          <w:sz w:val="28"/>
          <w:szCs w:val="28"/>
        </w:rPr>
        <w:t>дминистративные барьеры для 40</w:t>
      </w:r>
      <w:r w:rsidRPr="0084724F">
        <w:rPr>
          <w:rFonts w:ascii="Times New Roman" w:hAnsi="Times New Roman" w:cs="Times New Roman"/>
          <w:sz w:val="28"/>
          <w:szCs w:val="28"/>
        </w:rPr>
        <w:t>% ре</w:t>
      </w:r>
      <w:r w:rsidRPr="0084724F">
        <w:rPr>
          <w:rFonts w:ascii="Times New Roman" w:hAnsi="Times New Roman" w:cs="Times New Roman"/>
          <w:sz w:val="28"/>
          <w:szCs w:val="28"/>
        </w:rPr>
        <w:t>с</w:t>
      </w:r>
      <w:r w:rsidRPr="0084724F">
        <w:rPr>
          <w:rFonts w:ascii="Times New Roman" w:hAnsi="Times New Roman" w:cs="Times New Roman"/>
          <w:sz w:val="28"/>
          <w:szCs w:val="28"/>
        </w:rPr>
        <w:t>пондентов;</w:t>
      </w:r>
    </w:p>
    <w:p w:rsidR="00FC0960" w:rsidRPr="0084724F" w:rsidRDefault="00FC0960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4F">
        <w:rPr>
          <w:rFonts w:ascii="Times New Roman" w:hAnsi="Times New Roman" w:cs="Times New Roman"/>
          <w:sz w:val="28"/>
          <w:szCs w:val="28"/>
        </w:rPr>
        <w:t xml:space="preserve">- </w:t>
      </w:r>
      <w:r w:rsidR="009F33D8" w:rsidRPr="0084724F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390596" w:rsidRPr="0084724F">
        <w:rPr>
          <w:rFonts w:ascii="Times New Roman" w:hAnsi="Times New Roman" w:cs="Times New Roman"/>
          <w:sz w:val="28"/>
          <w:szCs w:val="28"/>
        </w:rPr>
        <w:t>барьеры отсутствуют</w:t>
      </w:r>
      <w:r w:rsidR="009F33D8" w:rsidRPr="0084724F">
        <w:rPr>
          <w:rFonts w:ascii="Times New Roman" w:hAnsi="Times New Roman" w:cs="Times New Roman"/>
          <w:sz w:val="28"/>
          <w:szCs w:val="28"/>
        </w:rPr>
        <w:t>, как и ранее</w:t>
      </w:r>
      <w:r w:rsidR="000E352F" w:rsidRPr="0084724F">
        <w:rPr>
          <w:rFonts w:ascii="Times New Roman" w:hAnsi="Times New Roman" w:cs="Times New Roman"/>
          <w:sz w:val="28"/>
          <w:szCs w:val="28"/>
        </w:rPr>
        <w:t xml:space="preserve"> для 9,1</w:t>
      </w:r>
      <w:r w:rsidRPr="0084724F">
        <w:rPr>
          <w:rFonts w:ascii="Times New Roman" w:hAnsi="Times New Roman" w:cs="Times New Roman"/>
          <w:sz w:val="28"/>
          <w:szCs w:val="28"/>
        </w:rPr>
        <w:t>% ре</w:t>
      </w:r>
      <w:r w:rsidRPr="0084724F">
        <w:rPr>
          <w:rFonts w:ascii="Times New Roman" w:hAnsi="Times New Roman" w:cs="Times New Roman"/>
          <w:sz w:val="28"/>
          <w:szCs w:val="28"/>
        </w:rPr>
        <w:t>с</w:t>
      </w:r>
      <w:r w:rsidRPr="0084724F">
        <w:rPr>
          <w:rFonts w:ascii="Times New Roman" w:hAnsi="Times New Roman" w:cs="Times New Roman"/>
          <w:sz w:val="28"/>
          <w:szCs w:val="28"/>
        </w:rPr>
        <w:t>пондентов;</w:t>
      </w:r>
    </w:p>
    <w:p w:rsidR="009F33D8" w:rsidRPr="0084724F" w:rsidRDefault="009F33D8" w:rsidP="00CE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4F">
        <w:rPr>
          <w:rFonts w:ascii="Times New Roman" w:hAnsi="Times New Roman" w:cs="Times New Roman"/>
          <w:sz w:val="28"/>
          <w:szCs w:val="28"/>
        </w:rPr>
        <w:t>-административные барьеры были полностью устранены</w:t>
      </w:r>
      <w:r w:rsidR="00BF5F7F" w:rsidRPr="0084724F">
        <w:rPr>
          <w:rFonts w:ascii="Times New Roman" w:hAnsi="Times New Roman" w:cs="Times New Roman"/>
          <w:sz w:val="28"/>
          <w:szCs w:val="28"/>
        </w:rPr>
        <w:t xml:space="preserve"> для 7,3</w:t>
      </w:r>
      <w:r w:rsidR="005B3B15" w:rsidRPr="0084724F">
        <w:rPr>
          <w:rFonts w:ascii="Times New Roman" w:hAnsi="Times New Roman" w:cs="Times New Roman"/>
          <w:sz w:val="28"/>
          <w:szCs w:val="28"/>
        </w:rPr>
        <w:t>% ре</w:t>
      </w:r>
      <w:r w:rsidRPr="0084724F">
        <w:rPr>
          <w:rFonts w:ascii="Times New Roman" w:hAnsi="Times New Roman" w:cs="Times New Roman"/>
          <w:sz w:val="28"/>
          <w:szCs w:val="28"/>
        </w:rPr>
        <w:t>с</w:t>
      </w:r>
      <w:r w:rsidRPr="0084724F">
        <w:rPr>
          <w:rFonts w:ascii="Times New Roman" w:hAnsi="Times New Roman" w:cs="Times New Roman"/>
          <w:sz w:val="28"/>
          <w:szCs w:val="28"/>
        </w:rPr>
        <w:t>пондентов;</w:t>
      </w:r>
    </w:p>
    <w:p w:rsidR="00D14F57" w:rsidRDefault="009F33D8" w:rsidP="0084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4F">
        <w:rPr>
          <w:rFonts w:ascii="Times New Roman" w:hAnsi="Times New Roman" w:cs="Times New Roman"/>
          <w:sz w:val="28"/>
          <w:szCs w:val="28"/>
        </w:rPr>
        <w:t xml:space="preserve">Однако для </w:t>
      </w:r>
      <w:r w:rsidR="000E352F" w:rsidRPr="0084724F">
        <w:rPr>
          <w:rFonts w:ascii="Times New Roman" w:hAnsi="Times New Roman" w:cs="Times New Roman"/>
          <w:sz w:val="28"/>
          <w:szCs w:val="28"/>
        </w:rPr>
        <w:t>5,4</w:t>
      </w:r>
      <w:r w:rsidR="00FC0960" w:rsidRPr="0084724F">
        <w:rPr>
          <w:rFonts w:ascii="Times New Roman" w:hAnsi="Times New Roman" w:cs="Times New Roman"/>
          <w:sz w:val="28"/>
          <w:szCs w:val="28"/>
        </w:rPr>
        <w:t>% респон</w:t>
      </w:r>
      <w:r w:rsidRPr="0084724F">
        <w:rPr>
          <w:rFonts w:ascii="Times New Roman" w:hAnsi="Times New Roman" w:cs="Times New Roman"/>
          <w:sz w:val="28"/>
          <w:szCs w:val="28"/>
        </w:rPr>
        <w:t>дентов  считают, что бизнесу стало сложнее преодолевать административные  барьеры, чем раньше.</w:t>
      </w:r>
    </w:p>
    <w:p w:rsidR="0084724F" w:rsidRPr="0084724F" w:rsidRDefault="0084724F" w:rsidP="0084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D14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57" w:rsidRDefault="00D14F57" w:rsidP="00D14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CCE" w:rsidRPr="000A4D95" w:rsidRDefault="00D14F57" w:rsidP="00D14F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A4D95">
        <w:rPr>
          <w:rFonts w:ascii="Times New Roman" w:hAnsi="Times New Roman" w:cs="Times New Roman"/>
          <w:b/>
          <w:i/>
          <w:sz w:val="32"/>
          <w:szCs w:val="32"/>
          <w:u w:val="single"/>
        </w:rPr>
        <w:t>Оценка состояния к</w:t>
      </w:r>
      <w:r w:rsidR="000A4D95">
        <w:rPr>
          <w:rFonts w:ascii="Times New Roman" w:hAnsi="Times New Roman" w:cs="Times New Roman"/>
          <w:b/>
          <w:i/>
          <w:sz w:val="32"/>
          <w:szCs w:val="32"/>
          <w:u w:val="single"/>
        </w:rPr>
        <w:t>онкуренции и конкурентной среды</w:t>
      </w:r>
    </w:p>
    <w:p w:rsidR="002042E3" w:rsidRDefault="002042E3" w:rsidP="00D14F57">
      <w:pPr>
        <w:spacing w:after="0" w:line="240" w:lineRule="auto"/>
        <w:jc w:val="center"/>
      </w:pPr>
    </w:p>
    <w:p w:rsidR="00D14F57" w:rsidRDefault="00FC0124" w:rsidP="00FC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7819" cy="3689405"/>
            <wp:effectExtent l="38100" t="38100" r="74295" b="82550"/>
            <wp:docPr id="1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22CC" w:rsidRDefault="00FA22CC" w:rsidP="0084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24F" w:rsidRDefault="00D14F57" w:rsidP="0084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4F">
        <w:rPr>
          <w:rFonts w:ascii="Times New Roman" w:hAnsi="Times New Roman" w:cs="Times New Roman"/>
          <w:sz w:val="28"/>
          <w:szCs w:val="28"/>
        </w:rPr>
        <w:t>Уровень конкуренции в городе – курорте Пятигорске оценивается уч</w:t>
      </w:r>
      <w:r w:rsidRPr="0084724F">
        <w:rPr>
          <w:rFonts w:ascii="Times New Roman" w:hAnsi="Times New Roman" w:cs="Times New Roman"/>
          <w:sz w:val="28"/>
          <w:szCs w:val="28"/>
        </w:rPr>
        <w:t>а</w:t>
      </w:r>
      <w:r w:rsidRPr="0084724F">
        <w:rPr>
          <w:rFonts w:ascii="Times New Roman" w:hAnsi="Times New Roman" w:cs="Times New Roman"/>
          <w:sz w:val="28"/>
          <w:szCs w:val="28"/>
        </w:rPr>
        <w:t>стниками опроса достаточно высоко: 67,3% указали на высокую или очень высокую конкуренцию, 23,6% отмечают умеренный уровень конкуренции, и только 3,6% считают, что конкуренция слабая.</w:t>
      </w:r>
    </w:p>
    <w:p w:rsidR="0084724F" w:rsidRDefault="0084724F" w:rsidP="0084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24F" w:rsidRDefault="00FC0124" w:rsidP="00FC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7819" cy="3204376"/>
            <wp:effectExtent l="38100" t="38100" r="74295" b="72390"/>
            <wp:docPr id="18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042E3" w:rsidRDefault="00D14F57" w:rsidP="0084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4F">
        <w:rPr>
          <w:rFonts w:ascii="Times New Roman" w:hAnsi="Times New Roman" w:cs="Times New Roman"/>
          <w:sz w:val="28"/>
          <w:szCs w:val="28"/>
        </w:rPr>
        <w:lastRenderedPageBreak/>
        <w:t>На вопрос о количестве конкурентов бизнеса 50,9% участников иссл</w:t>
      </w:r>
      <w:r w:rsidRPr="0084724F">
        <w:rPr>
          <w:rFonts w:ascii="Times New Roman" w:hAnsi="Times New Roman" w:cs="Times New Roman"/>
          <w:sz w:val="28"/>
          <w:szCs w:val="28"/>
        </w:rPr>
        <w:t>е</w:t>
      </w:r>
      <w:r w:rsidRPr="0084724F">
        <w:rPr>
          <w:rFonts w:ascii="Times New Roman" w:hAnsi="Times New Roman" w:cs="Times New Roman"/>
          <w:sz w:val="28"/>
          <w:szCs w:val="28"/>
        </w:rPr>
        <w:t>дования указали на большое количество конкурентов, 25,5% –  на 4 и более конкурентов, 14,5% – от 1 до 3 конкурентов</w:t>
      </w:r>
      <w:r w:rsidR="0084724F" w:rsidRPr="0084724F">
        <w:rPr>
          <w:rFonts w:ascii="Times New Roman" w:hAnsi="Times New Roman" w:cs="Times New Roman"/>
          <w:sz w:val="28"/>
          <w:szCs w:val="28"/>
        </w:rPr>
        <w:t>.</w:t>
      </w:r>
    </w:p>
    <w:p w:rsidR="002042E3" w:rsidRDefault="002042E3" w:rsidP="00FC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98768F" w:rsidP="00FC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7819" cy="3816626"/>
            <wp:effectExtent l="38100" t="38100" r="74295" b="69850"/>
            <wp:docPr id="2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59D6" w:rsidRPr="00FA6118" w:rsidRDefault="0084724F" w:rsidP="004559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59D6" w:rsidRPr="004559D6">
        <w:rPr>
          <w:rFonts w:ascii="Times New Roman" w:hAnsi="Times New Roman" w:cs="Times New Roman"/>
          <w:sz w:val="28"/>
          <w:szCs w:val="28"/>
        </w:rPr>
        <w:t>езультаты исследования показывают, что за последние 3 года набл</w:t>
      </w:r>
      <w:r w:rsidR="004559D6" w:rsidRPr="004559D6">
        <w:rPr>
          <w:rFonts w:ascii="Times New Roman" w:hAnsi="Times New Roman" w:cs="Times New Roman"/>
          <w:sz w:val="28"/>
          <w:szCs w:val="28"/>
        </w:rPr>
        <w:t>ю</w:t>
      </w:r>
      <w:r w:rsidR="004559D6" w:rsidRPr="004559D6">
        <w:rPr>
          <w:rFonts w:ascii="Times New Roman" w:hAnsi="Times New Roman" w:cs="Times New Roman"/>
          <w:sz w:val="28"/>
          <w:szCs w:val="28"/>
        </w:rPr>
        <w:t xml:space="preserve">дается рост уровня конкуренции. В частности 54,6% респондентов указали на увеличение числа конкурентов, 21,8% считают, что количество конкурентов не изменилось. В большей степени конкуренция растёт за счёт увеличения числа </w:t>
      </w:r>
      <w:r w:rsidR="004559D6" w:rsidRPr="00FA6118">
        <w:rPr>
          <w:rFonts w:ascii="Times New Roman" w:hAnsi="Times New Roman" w:cs="Times New Roman"/>
          <w:sz w:val="28"/>
          <w:szCs w:val="28"/>
        </w:rPr>
        <w:t>российских участников рынка.</w:t>
      </w:r>
    </w:p>
    <w:p w:rsidR="008757AD" w:rsidRPr="008757AD" w:rsidRDefault="008757AD" w:rsidP="008757AD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E4512" w:rsidRDefault="008757AD" w:rsidP="00EA45F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F804E1">
        <w:rPr>
          <w:rFonts w:ascii="Times New Roman" w:hAnsi="Times New Roman" w:cs="Times New Roman"/>
          <w:sz w:val="28"/>
          <w:szCs w:val="28"/>
        </w:rPr>
        <w:t xml:space="preserve"> респондентами </w:t>
      </w:r>
      <w:r w:rsidR="00A6228C">
        <w:rPr>
          <w:rFonts w:ascii="Times New Roman" w:hAnsi="Times New Roman" w:cs="Times New Roman"/>
          <w:sz w:val="28"/>
          <w:szCs w:val="28"/>
        </w:rPr>
        <w:t xml:space="preserve"> примерного числа поставщиков основного з</w:t>
      </w:r>
      <w:r w:rsidR="00A6228C">
        <w:rPr>
          <w:rFonts w:ascii="Times New Roman" w:hAnsi="Times New Roman" w:cs="Times New Roman"/>
          <w:sz w:val="28"/>
          <w:szCs w:val="28"/>
        </w:rPr>
        <w:t>а</w:t>
      </w:r>
      <w:r w:rsidR="00A6228C">
        <w:rPr>
          <w:rFonts w:ascii="Times New Roman" w:hAnsi="Times New Roman" w:cs="Times New Roman"/>
          <w:sz w:val="28"/>
          <w:szCs w:val="28"/>
        </w:rPr>
        <w:t>купаемого товара (</w:t>
      </w:r>
      <w:r w:rsidR="00F804E1">
        <w:rPr>
          <w:rFonts w:ascii="Times New Roman" w:hAnsi="Times New Roman" w:cs="Times New Roman"/>
          <w:sz w:val="28"/>
          <w:szCs w:val="28"/>
        </w:rPr>
        <w:t>работы, услуги), который приобретает представляемый</w:t>
      </w:r>
      <w:r w:rsidR="000F7345">
        <w:rPr>
          <w:rFonts w:ascii="Times New Roman" w:hAnsi="Times New Roman" w:cs="Times New Roman"/>
          <w:sz w:val="28"/>
          <w:szCs w:val="28"/>
        </w:rPr>
        <w:t xml:space="preserve"> респондентами</w:t>
      </w:r>
      <w:r w:rsidR="00D7613F">
        <w:rPr>
          <w:rFonts w:ascii="Times New Roman" w:hAnsi="Times New Roman" w:cs="Times New Roman"/>
          <w:sz w:val="28"/>
          <w:szCs w:val="28"/>
        </w:rPr>
        <w:t xml:space="preserve"> бизнес для реализации собственной продукции (если прим</w:t>
      </w:r>
      <w:r w:rsidR="00D7613F">
        <w:rPr>
          <w:rFonts w:ascii="Times New Roman" w:hAnsi="Times New Roman" w:cs="Times New Roman"/>
          <w:sz w:val="28"/>
          <w:szCs w:val="28"/>
        </w:rPr>
        <w:t>е</w:t>
      </w:r>
      <w:r w:rsidR="00D7613F">
        <w:rPr>
          <w:rFonts w:ascii="Times New Roman" w:hAnsi="Times New Roman" w:cs="Times New Roman"/>
          <w:sz w:val="28"/>
          <w:szCs w:val="28"/>
        </w:rPr>
        <w:t>нимо),а также</w:t>
      </w:r>
      <w:r>
        <w:rPr>
          <w:rFonts w:ascii="Times New Roman" w:hAnsi="Times New Roman" w:cs="Times New Roman"/>
          <w:sz w:val="28"/>
          <w:szCs w:val="28"/>
        </w:rPr>
        <w:t xml:space="preserve"> удовлетво</w:t>
      </w:r>
      <w:r w:rsidR="00A6228C">
        <w:rPr>
          <w:rFonts w:ascii="Times New Roman" w:hAnsi="Times New Roman" w:cs="Times New Roman"/>
          <w:sz w:val="28"/>
          <w:szCs w:val="28"/>
        </w:rPr>
        <w:t>ренности состоянием конкуренции между поста</w:t>
      </w:r>
      <w:r w:rsidR="00A6228C">
        <w:rPr>
          <w:rFonts w:ascii="Times New Roman" w:hAnsi="Times New Roman" w:cs="Times New Roman"/>
          <w:sz w:val="28"/>
          <w:szCs w:val="28"/>
        </w:rPr>
        <w:t>в</w:t>
      </w:r>
      <w:r w:rsidR="00A6228C">
        <w:rPr>
          <w:rFonts w:ascii="Times New Roman" w:hAnsi="Times New Roman" w:cs="Times New Roman"/>
          <w:sz w:val="28"/>
          <w:szCs w:val="28"/>
        </w:rPr>
        <w:t>щиками</w:t>
      </w:r>
      <w:r w:rsidR="00D7613F">
        <w:rPr>
          <w:rFonts w:ascii="Times New Roman" w:hAnsi="Times New Roman" w:cs="Times New Roman"/>
          <w:sz w:val="28"/>
          <w:szCs w:val="28"/>
        </w:rPr>
        <w:t xml:space="preserve"> этого товара (работы, услуги) </w:t>
      </w:r>
      <w:r w:rsidR="000F7345">
        <w:rPr>
          <w:rFonts w:ascii="Times New Roman" w:hAnsi="Times New Roman" w:cs="Times New Roman"/>
          <w:sz w:val="28"/>
          <w:szCs w:val="28"/>
        </w:rPr>
        <w:t>сложилась следующим образом</w:t>
      </w:r>
      <w:r w:rsidR="00D761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220"/>
        <w:gridCol w:w="648"/>
        <w:gridCol w:w="649"/>
        <w:gridCol w:w="649"/>
        <w:gridCol w:w="649"/>
        <w:gridCol w:w="649"/>
      </w:tblGrid>
      <w:tr w:rsidR="004559D6" w:rsidRPr="008757AD" w:rsidTr="00EA45F2">
        <w:trPr>
          <w:trHeight w:val="2350"/>
        </w:trPr>
        <w:tc>
          <w:tcPr>
            <w:tcW w:w="6220" w:type="dxa"/>
            <w:hideMark/>
          </w:tcPr>
          <w:p w:rsidR="004559D6" w:rsidRPr="004559D6" w:rsidRDefault="004559D6" w:rsidP="0045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9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dxa"/>
            <w:textDirection w:val="btLr"/>
            <w:hideMark/>
          </w:tcPr>
          <w:p w:rsidR="004559D6" w:rsidRPr="00EA45F2" w:rsidRDefault="004559D6" w:rsidP="00455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5F2">
              <w:rPr>
                <w:rFonts w:ascii="Times New Roman" w:hAnsi="Times New Roman" w:cs="Times New Roman"/>
                <w:b/>
                <w:sz w:val="16"/>
                <w:szCs w:val="16"/>
              </w:rPr>
              <w:t>Единственный поставщик / Неудовлетворительно</w:t>
            </w:r>
          </w:p>
        </w:tc>
        <w:tc>
          <w:tcPr>
            <w:tcW w:w="649" w:type="dxa"/>
            <w:textDirection w:val="btLr"/>
            <w:hideMark/>
          </w:tcPr>
          <w:p w:rsidR="004559D6" w:rsidRPr="00EA45F2" w:rsidRDefault="004559D6" w:rsidP="00455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5F2">
              <w:rPr>
                <w:rFonts w:ascii="Times New Roman" w:hAnsi="Times New Roman" w:cs="Times New Roman"/>
                <w:b/>
                <w:sz w:val="16"/>
                <w:szCs w:val="16"/>
              </w:rPr>
              <w:t>2-3 поставщика / Скорее н</w:t>
            </w:r>
            <w:r w:rsidRPr="00EA45F2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A4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удовлетворительно </w:t>
            </w:r>
          </w:p>
        </w:tc>
        <w:tc>
          <w:tcPr>
            <w:tcW w:w="649" w:type="dxa"/>
            <w:textDirection w:val="btLr"/>
            <w:hideMark/>
          </w:tcPr>
          <w:p w:rsidR="004559D6" w:rsidRPr="00EA45F2" w:rsidRDefault="004559D6" w:rsidP="00455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и более поставщика / Скорее удовлетворительно </w:t>
            </w:r>
          </w:p>
        </w:tc>
        <w:tc>
          <w:tcPr>
            <w:tcW w:w="649" w:type="dxa"/>
            <w:textDirection w:val="btLr"/>
            <w:hideMark/>
          </w:tcPr>
          <w:p w:rsidR="004559D6" w:rsidRPr="00EA45F2" w:rsidRDefault="004559D6" w:rsidP="00455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5F2">
              <w:rPr>
                <w:rFonts w:ascii="Times New Roman" w:hAnsi="Times New Roman" w:cs="Times New Roman"/>
                <w:b/>
                <w:sz w:val="16"/>
                <w:szCs w:val="16"/>
              </w:rPr>
              <w:t>Большое число поставщиков /Удовлетворительно</w:t>
            </w:r>
          </w:p>
        </w:tc>
        <w:tc>
          <w:tcPr>
            <w:tcW w:w="649" w:type="dxa"/>
            <w:textDirection w:val="btLr"/>
            <w:hideMark/>
          </w:tcPr>
          <w:p w:rsidR="004559D6" w:rsidRPr="00EA45F2" w:rsidRDefault="004559D6" w:rsidP="00455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Затрудняюсь ответить </w:t>
            </w:r>
          </w:p>
        </w:tc>
      </w:tr>
      <w:tr w:rsidR="004559D6" w:rsidRPr="008757AD" w:rsidTr="00EA45F2">
        <w:trPr>
          <w:trHeight w:val="645"/>
        </w:trPr>
        <w:tc>
          <w:tcPr>
            <w:tcW w:w="6220" w:type="dxa"/>
            <w:hideMark/>
          </w:tcPr>
          <w:p w:rsidR="004559D6" w:rsidRPr="008757AD" w:rsidRDefault="001A63D8" w:rsidP="0045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числу</w:t>
            </w:r>
            <w:r w:rsidR="004559D6" w:rsidRPr="008757AD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основного закупа</w:t>
            </w:r>
            <w:r w:rsidR="004559D6" w:rsidRPr="00875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59D6" w:rsidRPr="008757AD">
              <w:rPr>
                <w:rFonts w:ascii="Times New Roman" w:hAnsi="Times New Roman" w:cs="Times New Roman"/>
                <w:sz w:val="24"/>
                <w:szCs w:val="24"/>
              </w:rPr>
              <w:t>мого товара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648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345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345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345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345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345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4559D6" w:rsidRPr="008757AD" w:rsidTr="00EA45F2">
        <w:trPr>
          <w:trHeight w:val="960"/>
        </w:trPr>
        <w:tc>
          <w:tcPr>
            <w:tcW w:w="6220" w:type="dxa"/>
            <w:hideMark/>
          </w:tcPr>
          <w:p w:rsidR="004559D6" w:rsidRPr="008757AD" w:rsidRDefault="004559D6" w:rsidP="0045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состоянием конкуренции между п</w:t>
            </w:r>
            <w:r w:rsidRPr="00875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7AD">
              <w:rPr>
                <w:rFonts w:ascii="Times New Roman" w:hAnsi="Times New Roman" w:cs="Times New Roman"/>
                <w:sz w:val="24"/>
                <w:szCs w:val="24"/>
              </w:rPr>
              <w:t>ставщиками основного закупаемого товара (работы, усл</w:t>
            </w:r>
            <w:r w:rsidRPr="008757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7345">
              <w:rPr>
                <w:rFonts w:ascii="Times New Roman" w:hAnsi="Times New Roman" w:cs="Times New Roman"/>
                <w:sz w:val="24"/>
                <w:szCs w:val="24"/>
              </w:rPr>
              <w:t>ги),%</w:t>
            </w:r>
          </w:p>
        </w:tc>
        <w:tc>
          <w:tcPr>
            <w:tcW w:w="648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32,7</w:t>
            </w:r>
          </w:p>
        </w:tc>
        <w:tc>
          <w:tcPr>
            <w:tcW w:w="649" w:type="dxa"/>
            <w:hideMark/>
          </w:tcPr>
          <w:p w:rsidR="004559D6" w:rsidRPr="000F7345" w:rsidRDefault="000F7345" w:rsidP="004559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</w:tr>
    </w:tbl>
    <w:p w:rsidR="004559D6" w:rsidRPr="008757AD" w:rsidRDefault="004559D6" w:rsidP="00455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9D6" w:rsidRDefault="004559D6" w:rsidP="001A63D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дают дополнительные свидетельства об удо-влетворенности состоянием конкуренции между поставщиками основного закупаемого тов</w:t>
      </w:r>
      <w:r w:rsidR="001A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 (работы, услуги). Более 67,3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респондентов устраивает состояние конкуренции между поставщиками основного закупаемого товара (р</w:t>
      </w:r>
      <w:r w:rsidR="001A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услуги). Кроме того, 69,1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участвующих в опросе указали, что би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 приобретает основной закупаемый товар (работы, услуги) для произво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 реализации собственной продукции у 4 и более поставщиков товара, 20% субъектов предпринимательства имеют 2-3 поставщика. У единственн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поставщика приобретение основного закупаемого товара (работ, услуг) осуществляют 3,6% опрошенных.</w:t>
      </w:r>
    </w:p>
    <w:p w:rsidR="001A63D8" w:rsidRPr="004559D6" w:rsidRDefault="001A63D8" w:rsidP="001A63D8">
      <w:pPr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7819" cy="5112688"/>
            <wp:effectExtent l="38100" t="38100" r="74295" b="69215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521DA" w:rsidRDefault="006521DA" w:rsidP="006521D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66A64" w:rsidRDefault="00866A64" w:rsidP="00652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Поступление</w:t>
      </w:r>
      <w:r w:rsidR="00E703CF" w:rsidRPr="00E703C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жалоб </w:t>
      </w:r>
      <w:r w:rsidR="002E1464" w:rsidRPr="00E703C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контрольно</w:t>
      </w:r>
      <w:r w:rsidR="00E703CF" w:rsidRPr="00E703CF">
        <w:rPr>
          <w:rFonts w:ascii="Times New Roman" w:hAnsi="Times New Roman" w:cs="Times New Roman"/>
          <w:b/>
          <w:i/>
          <w:sz w:val="32"/>
          <w:szCs w:val="32"/>
          <w:u w:val="single"/>
        </w:rPr>
        <w:t>-надзорные органы</w:t>
      </w:r>
    </w:p>
    <w:p w:rsidR="00D14F57" w:rsidRDefault="00E703CF" w:rsidP="00652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703CF">
        <w:rPr>
          <w:rFonts w:ascii="Times New Roman" w:hAnsi="Times New Roman" w:cs="Times New Roman"/>
          <w:b/>
          <w:i/>
          <w:sz w:val="32"/>
          <w:szCs w:val="32"/>
          <w:u w:val="single"/>
        </w:rPr>
        <w:t>и их динамика</w:t>
      </w:r>
    </w:p>
    <w:p w:rsidR="00E703CF" w:rsidRPr="00E703CF" w:rsidRDefault="00E703CF" w:rsidP="00652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A45F2" w:rsidRDefault="00A23D1D" w:rsidP="006521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3D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Динамика полученных обращений (жалоб) в территориальный отдел Управления Роспотребнадзора  по Ставропольскому краю в городе П</w:t>
      </w:r>
      <w:r w:rsidRPr="00A23D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Pr="00A23D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тигорске за 2017- 2018 гг. на нарушения прав </w:t>
      </w:r>
      <w:r w:rsidR="00E703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потребителей</w:t>
      </w:r>
    </w:p>
    <w:p w:rsidR="006521DA" w:rsidRPr="00866A64" w:rsidRDefault="006521DA" w:rsidP="006521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936"/>
        <w:gridCol w:w="1701"/>
        <w:gridCol w:w="1701"/>
        <w:gridCol w:w="2233"/>
      </w:tblGrid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233" w:type="dxa"/>
          </w:tcPr>
          <w:p w:rsidR="00A23D1D" w:rsidRPr="00DB73DB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DB">
              <w:rPr>
                <w:rFonts w:ascii="Times New Roman" w:hAnsi="Times New Roman" w:cs="Times New Roman"/>
                <w:b/>
                <w:sz w:val="24"/>
                <w:szCs w:val="24"/>
              </w:rPr>
              <w:t>Темп снижения,%</w:t>
            </w:r>
          </w:p>
        </w:tc>
      </w:tr>
      <w:tr w:rsidR="00A23D1D" w:rsidRPr="00A23D1D" w:rsidTr="00A23D1D">
        <w:trPr>
          <w:trHeight w:val="483"/>
        </w:trPr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Число обращений (жалоб), ед. вс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33" w:type="dxa"/>
          </w:tcPr>
          <w:p w:rsidR="00A23D1D" w:rsidRPr="00DB73DB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D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A23D1D" w:rsidRPr="00A23D1D" w:rsidTr="00A23D1D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в том числе:        - в сфере розни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ной торговли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 xml:space="preserve"> - в сфере услуг: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из них: общественного питания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- 66,7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 населения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-266,7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гостиничных услуг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туристических услуг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деятельности на финансовом рынке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деятельности платежных агентов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долевого строительства жилья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риэлтерской деятельности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D1D" w:rsidRPr="00A23D1D" w:rsidTr="003B6911">
        <w:tc>
          <w:tcPr>
            <w:tcW w:w="3936" w:type="dxa"/>
          </w:tcPr>
          <w:p w:rsidR="00A23D1D" w:rsidRPr="00A23D1D" w:rsidRDefault="00A23D1D" w:rsidP="00A23D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прочих видов деятельности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33" w:type="dxa"/>
          </w:tcPr>
          <w:p w:rsidR="00A23D1D" w:rsidRPr="00A23D1D" w:rsidRDefault="00A23D1D" w:rsidP="00A23D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</w:tbl>
    <w:p w:rsidR="00A23D1D" w:rsidRPr="00866A64" w:rsidRDefault="00A23D1D" w:rsidP="006521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2018 год в адрес  территориального отдела Управления Роспотре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надзора  по Ставропольскому краю в городе Пятигорске поступило  от п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требителей  товаров и услуг 355 обращений (жалоб) на нарушения прав п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требителей, что на 29,7% меньше 2017 года. Из общего числаобращений (ж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лоб)  - 22,5% относятся к сфере розничной торговли и 76,5% - к сфере услуг.</w:t>
      </w:r>
    </w:p>
    <w:p w:rsidR="00A23D1D" w:rsidRPr="00A23D1D" w:rsidRDefault="00A23D1D" w:rsidP="00A23D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23D1D"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40425" cy="3164584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23D1D" w:rsidRPr="00A23D1D" w:rsidRDefault="00A23D1D" w:rsidP="006521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розничной торговли в 2018  году   получение обращений (ж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лоб)  по сравнению с 2017 годом сократилось на 60,4%. В сфере услуг на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большее снижение наблюдается в сфере бытового обслуживания населения –  76,5% и медицинских услуг –  55%. В три раза увеличилось получение обр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щений (жалоб) в сфере технического обслуживания и ремонта автотран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портных средств. На уровне прошлого года поступление обращений (жалоб) в сферах гостиничных услуг, долевого строительства жилья и риэлтерской деятельности</w:t>
      </w:r>
      <w:r w:rsidRPr="00A23D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23D1D" w:rsidRPr="00A23D1D" w:rsidRDefault="00A23D1D" w:rsidP="00A23D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23D1D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907819" cy="4206240"/>
            <wp:effectExtent l="38100" t="38100" r="74295" b="8001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23D1D" w:rsidRPr="00A23D1D" w:rsidRDefault="00A23D1D" w:rsidP="00A23D1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D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всем поступившим обращениям в сфере торговли  и по 30,2% обр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щений  в сфере услуг  территориальным отделом Управления Роспотребна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зора  по Ставропольскому краю в городе Пятигорске,в пределах установле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компетенции, даны разъяснения. </w:t>
      </w:r>
    </w:p>
    <w:p w:rsidR="00A23D1D" w:rsidRPr="00A23D1D" w:rsidRDefault="00A23D1D" w:rsidP="00A23D1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проведения проверок и административных расследований  подтвердилось 25 обращений с жалобами на нарушения, из них 13 в сфере торговли и 12 в сфере услуг. По данным фактам нарушения составлены пр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23D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токолы об административных нарушениях.</w:t>
      </w:r>
    </w:p>
    <w:p w:rsidR="00A23D1D" w:rsidRPr="00A23D1D" w:rsidRDefault="00A23D1D" w:rsidP="00A23D1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6874" w:rsidRDefault="00A46874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Pr="00EA45F2" w:rsidRDefault="00E703CF" w:rsidP="00EA45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DC">
        <w:rPr>
          <w:rFonts w:ascii="Times New Roman" w:hAnsi="Times New Roman" w:cs="Times New Roman"/>
          <w:b/>
          <w:sz w:val="28"/>
          <w:szCs w:val="28"/>
        </w:rPr>
        <w:t xml:space="preserve">Динамика полученных обращений (жалоб) в адрес Уполномоченного </w:t>
      </w:r>
      <w:r w:rsidR="000D68DC" w:rsidRPr="000D68DC">
        <w:rPr>
          <w:rFonts w:ascii="Times New Roman" w:hAnsi="Times New Roman" w:cs="Times New Roman"/>
          <w:b/>
          <w:sz w:val="28"/>
          <w:szCs w:val="28"/>
        </w:rPr>
        <w:t>по     защите прав предпринимателей в</w:t>
      </w:r>
      <w:r w:rsidRPr="000D68DC">
        <w:rPr>
          <w:rFonts w:ascii="Times New Roman" w:hAnsi="Times New Roman" w:cs="Times New Roman"/>
          <w:b/>
          <w:sz w:val="28"/>
          <w:szCs w:val="28"/>
        </w:rPr>
        <w:t xml:space="preserve"> Ставропольско</w:t>
      </w:r>
      <w:r w:rsidR="000D68DC" w:rsidRPr="000D68DC">
        <w:rPr>
          <w:rFonts w:ascii="Times New Roman" w:hAnsi="Times New Roman" w:cs="Times New Roman"/>
          <w:b/>
          <w:sz w:val="28"/>
          <w:szCs w:val="28"/>
        </w:rPr>
        <w:t>м крае</w:t>
      </w:r>
      <w:r w:rsidR="000D68DC">
        <w:rPr>
          <w:rFonts w:ascii="Times New Roman" w:hAnsi="Times New Roman" w:cs="Times New Roman"/>
          <w:b/>
          <w:sz w:val="28"/>
          <w:szCs w:val="28"/>
        </w:rPr>
        <w:t>от субъектов предпринимательской деятельности на предмет наличия администр</w:t>
      </w:r>
      <w:r w:rsidR="000D68DC">
        <w:rPr>
          <w:rFonts w:ascii="Times New Roman" w:hAnsi="Times New Roman" w:cs="Times New Roman"/>
          <w:b/>
          <w:sz w:val="28"/>
          <w:szCs w:val="28"/>
        </w:rPr>
        <w:t>а</w:t>
      </w:r>
      <w:r w:rsidR="000D68DC">
        <w:rPr>
          <w:rFonts w:ascii="Times New Roman" w:hAnsi="Times New Roman" w:cs="Times New Roman"/>
          <w:b/>
          <w:sz w:val="28"/>
          <w:szCs w:val="28"/>
        </w:rPr>
        <w:t>тивных барьеров со стороны органов местного самоуправления муниц</w:t>
      </w:r>
      <w:r w:rsidR="000D68DC">
        <w:rPr>
          <w:rFonts w:ascii="Times New Roman" w:hAnsi="Times New Roman" w:cs="Times New Roman"/>
          <w:b/>
          <w:sz w:val="28"/>
          <w:szCs w:val="28"/>
        </w:rPr>
        <w:t>и</w:t>
      </w:r>
      <w:r w:rsidR="000D68DC">
        <w:rPr>
          <w:rFonts w:ascii="Times New Roman" w:hAnsi="Times New Roman" w:cs="Times New Roman"/>
          <w:b/>
          <w:sz w:val="28"/>
          <w:szCs w:val="28"/>
        </w:rPr>
        <w:t>пального образования  города</w:t>
      </w:r>
      <w:r w:rsidR="00DB73DB">
        <w:rPr>
          <w:rFonts w:ascii="Times New Roman" w:hAnsi="Times New Roman" w:cs="Times New Roman"/>
          <w:b/>
          <w:sz w:val="28"/>
          <w:szCs w:val="28"/>
        </w:rPr>
        <w:t xml:space="preserve"> - курорта</w:t>
      </w:r>
      <w:r w:rsidR="000D68DC">
        <w:rPr>
          <w:rFonts w:ascii="Times New Roman" w:hAnsi="Times New Roman" w:cs="Times New Roman"/>
          <w:b/>
          <w:sz w:val="28"/>
          <w:szCs w:val="28"/>
        </w:rPr>
        <w:t xml:space="preserve"> Пятигорска</w:t>
      </w:r>
      <w:r w:rsidR="00DB73DB" w:rsidRPr="00DB73DB">
        <w:rPr>
          <w:rFonts w:ascii="Times New Roman" w:hAnsi="Times New Roman" w:cs="Times New Roman"/>
          <w:b/>
          <w:sz w:val="28"/>
          <w:szCs w:val="28"/>
        </w:rPr>
        <w:t>за 2017- 2018 гг.</w:t>
      </w:r>
    </w:p>
    <w:tbl>
      <w:tblPr>
        <w:tblStyle w:val="1"/>
        <w:tblW w:w="0" w:type="auto"/>
        <w:tblLook w:val="04A0"/>
      </w:tblPr>
      <w:tblGrid>
        <w:gridCol w:w="3936"/>
        <w:gridCol w:w="1701"/>
        <w:gridCol w:w="1701"/>
        <w:gridCol w:w="2233"/>
      </w:tblGrid>
      <w:tr w:rsidR="00DB73DB" w:rsidRPr="00A23D1D" w:rsidTr="00560960">
        <w:tc>
          <w:tcPr>
            <w:tcW w:w="3936" w:type="dxa"/>
          </w:tcPr>
          <w:p w:rsidR="00DB73DB" w:rsidRPr="00A23D1D" w:rsidRDefault="00DB73DB" w:rsidP="0056096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B73DB" w:rsidRPr="00A23D1D" w:rsidRDefault="00DB73DB" w:rsidP="0056096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DB73DB" w:rsidRPr="00A23D1D" w:rsidRDefault="00DB73DB" w:rsidP="0056096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233" w:type="dxa"/>
          </w:tcPr>
          <w:p w:rsidR="00DB73DB" w:rsidRPr="00A23D1D" w:rsidRDefault="00DB73DB" w:rsidP="0056096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b/>
                <w:sz w:val="24"/>
                <w:szCs w:val="24"/>
              </w:rPr>
              <w:t>Темп снижения,%</w:t>
            </w:r>
          </w:p>
        </w:tc>
      </w:tr>
      <w:tr w:rsidR="00DB73DB" w:rsidRPr="00A23D1D" w:rsidTr="00560960">
        <w:trPr>
          <w:trHeight w:val="483"/>
        </w:trPr>
        <w:tc>
          <w:tcPr>
            <w:tcW w:w="3936" w:type="dxa"/>
          </w:tcPr>
          <w:p w:rsidR="00DB73DB" w:rsidRPr="00A23D1D" w:rsidRDefault="00DB73DB" w:rsidP="0056096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Число обращений (жалоб), ед. вс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701" w:type="dxa"/>
          </w:tcPr>
          <w:p w:rsidR="00DB73DB" w:rsidRPr="00A23D1D" w:rsidRDefault="00DB73DB" w:rsidP="00DB73D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73DB" w:rsidRPr="00A23D1D" w:rsidRDefault="00DB73DB" w:rsidP="0056096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DB73DB" w:rsidRPr="00A23D1D" w:rsidRDefault="00DB73DB" w:rsidP="0056096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4DA9" w:rsidRDefault="00DB73DB" w:rsidP="00EA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адрес</w:t>
      </w:r>
      <w:r w:rsidR="00AA4DA9">
        <w:rPr>
          <w:rFonts w:ascii="Times New Roman" w:hAnsi="Times New Roman" w:cs="Times New Roman"/>
          <w:sz w:val="28"/>
          <w:szCs w:val="28"/>
        </w:rPr>
        <w:t xml:space="preserve"> Уполномоченного по </w:t>
      </w:r>
      <w:r w:rsidRPr="00DB73DB">
        <w:rPr>
          <w:rFonts w:ascii="Times New Roman" w:hAnsi="Times New Roman" w:cs="Times New Roman"/>
          <w:sz w:val="28"/>
          <w:szCs w:val="28"/>
        </w:rPr>
        <w:t>защите прав предпринимат</w:t>
      </w:r>
      <w:r w:rsidRPr="00DB73DB">
        <w:rPr>
          <w:rFonts w:ascii="Times New Roman" w:hAnsi="Times New Roman" w:cs="Times New Roman"/>
          <w:sz w:val="28"/>
          <w:szCs w:val="28"/>
        </w:rPr>
        <w:t>е</w:t>
      </w:r>
      <w:r w:rsidRPr="00DB73DB">
        <w:rPr>
          <w:rFonts w:ascii="Times New Roman" w:hAnsi="Times New Roman" w:cs="Times New Roman"/>
          <w:sz w:val="28"/>
          <w:szCs w:val="28"/>
        </w:rPr>
        <w:t>лей в Ставропольском крае</w:t>
      </w:r>
      <w:r w:rsidR="00AA4DA9">
        <w:rPr>
          <w:rFonts w:ascii="Times New Roman" w:hAnsi="Times New Roman" w:cs="Times New Roman"/>
          <w:sz w:val="28"/>
          <w:szCs w:val="28"/>
        </w:rPr>
        <w:t xml:space="preserve"> поступило пять жалоб на действия администр</w:t>
      </w:r>
      <w:r w:rsidR="00AA4DA9">
        <w:rPr>
          <w:rFonts w:ascii="Times New Roman" w:hAnsi="Times New Roman" w:cs="Times New Roman"/>
          <w:sz w:val="28"/>
          <w:szCs w:val="28"/>
        </w:rPr>
        <w:t>а</w:t>
      </w:r>
      <w:r w:rsidR="00AA4DA9">
        <w:rPr>
          <w:rFonts w:ascii="Times New Roman" w:hAnsi="Times New Roman" w:cs="Times New Roman"/>
          <w:sz w:val="28"/>
          <w:szCs w:val="28"/>
        </w:rPr>
        <w:t>ции города Пятигорска в связи с:</w:t>
      </w:r>
    </w:p>
    <w:p w:rsidR="00AA4DA9" w:rsidRDefault="00AA4DA9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отказом в продлении срока договора аренды земли;</w:t>
      </w:r>
    </w:p>
    <w:p w:rsidR="00AA4DA9" w:rsidRDefault="00AA4DA9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нарушениями в проведении аукционов на право заключения договора на право размещения нестационарных торговых объектов; </w:t>
      </w:r>
    </w:p>
    <w:p w:rsidR="00D14F57" w:rsidRDefault="00AA4DA9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бездействием местных органов власти.</w:t>
      </w:r>
    </w:p>
    <w:p w:rsidR="00D14F57" w:rsidRDefault="00AA4DA9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жалоб на административные барьеры со стороны органов местного самоуправления муниципального образования города-курорта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 в адрес Уполномоченного не поступало.</w:t>
      </w:r>
    </w:p>
    <w:p w:rsidR="00A632FA" w:rsidRDefault="00A632FA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F57" w:rsidRDefault="00A632FA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2FA">
        <w:rPr>
          <w:rFonts w:ascii="Times New Roman" w:hAnsi="Times New Roman" w:cs="Times New Roman"/>
          <w:sz w:val="28"/>
          <w:szCs w:val="28"/>
        </w:rPr>
        <w:t>Провести анализ обращений (жалоб), поступивших от субъектов пре</w:t>
      </w:r>
      <w:r w:rsidRPr="00A632FA">
        <w:rPr>
          <w:rFonts w:ascii="Times New Roman" w:hAnsi="Times New Roman" w:cs="Times New Roman"/>
          <w:sz w:val="28"/>
          <w:szCs w:val="28"/>
        </w:rPr>
        <w:t>д</w:t>
      </w:r>
      <w:r w:rsidRPr="00A632FA">
        <w:rPr>
          <w:rFonts w:ascii="Times New Roman" w:hAnsi="Times New Roman" w:cs="Times New Roman"/>
          <w:sz w:val="28"/>
          <w:szCs w:val="28"/>
        </w:rPr>
        <w:t>принимательской деятельности в адрес прокуратуры города Пятигорска на предмет наличия административных барьеров со стороны органов местного самоуправления муниципального образования города - курорта Пятигорска, связанных с реализацией государственных (муниципальных) функций и з</w:t>
      </w:r>
      <w:r w:rsidRPr="00A632FA">
        <w:rPr>
          <w:rFonts w:ascii="Times New Roman" w:hAnsi="Times New Roman" w:cs="Times New Roman"/>
          <w:sz w:val="28"/>
          <w:szCs w:val="28"/>
        </w:rPr>
        <w:t>а</w:t>
      </w:r>
      <w:r w:rsidRPr="00A632FA">
        <w:rPr>
          <w:rFonts w:ascii="Times New Roman" w:hAnsi="Times New Roman" w:cs="Times New Roman"/>
          <w:sz w:val="28"/>
          <w:szCs w:val="28"/>
        </w:rPr>
        <w:t>дач, не представляется возможным по причине отсутствия данной выборки в органах  прокуратуры города.</w:t>
      </w: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Pr="00C74CB4" w:rsidRDefault="00E364B1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B4">
        <w:rPr>
          <w:rFonts w:ascii="Times New Roman" w:hAnsi="Times New Roman" w:cs="Times New Roman"/>
          <w:b/>
          <w:sz w:val="28"/>
          <w:szCs w:val="28"/>
        </w:rPr>
        <w:t>В адрес Департамента федеральной службы по надзору в сфере природопользования по Северо-Кавказскому федеральному округу о</w:t>
      </w:r>
      <w:r w:rsidRPr="00C74CB4">
        <w:rPr>
          <w:rFonts w:ascii="Times New Roman" w:hAnsi="Times New Roman" w:cs="Times New Roman"/>
          <w:b/>
          <w:sz w:val="28"/>
          <w:szCs w:val="28"/>
        </w:rPr>
        <w:t>б</w:t>
      </w:r>
      <w:r w:rsidRPr="00C74CB4">
        <w:rPr>
          <w:rFonts w:ascii="Times New Roman" w:hAnsi="Times New Roman" w:cs="Times New Roman"/>
          <w:b/>
          <w:sz w:val="28"/>
          <w:szCs w:val="28"/>
        </w:rPr>
        <w:t>ращения (жалобы)</w:t>
      </w:r>
      <w:r w:rsidR="00866A6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C74CB4">
        <w:rPr>
          <w:rFonts w:ascii="Times New Roman" w:hAnsi="Times New Roman" w:cs="Times New Roman"/>
          <w:b/>
          <w:sz w:val="28"/>
          <w:szCs w:val="28"/>
        </w:rPr>
        <w:t xml:space="preserve"> субъектов </w:t>
      </w:r>
      <w:r w:rsidR="00855DAC" w:rsidRPr="00C74CB4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на предмет наличия  административных барьеров со стороны органов м</w:t>
      </w:r>
      <w:r w:rsidR="00855DAC" w:rsidRPr="00C74CB4">
        <w:rPr>
          <w:rFonts w:ascii="Times New Roman" w:hAnsi="Times New Roman" w:cs="Times New Roman"/>
          <w:b/>
          <w:sz w:val="28"/>
          <w:szCs w:val="28"/>
        </w:rPr>
        <w:t>е</w:t>
      </w:r>
      <w:r w:rsidR="00855DAC" w:rsidRPr="00C74CB4">
        <w:rPr>
          <w:rFonts w:ascii="Times New Roman" w:hAnsi="Times New Roman" w:cs="Times New Roman"/>
          <w:b/>
          <w:sz w:val="28"/>
          <w:szCs w:val="28"/>
        </w:rPr>
        <w:t>стного  самоуправления муниципального образования города - курорта Пятигорска не поступали.</w:t>
      </w:r>
    </w:p>
    <w:p w:rsidR="00D14F57" w:rsidRPr="00C74CB4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00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57" w:rsidRDefault="00D14F57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4F57" w:rsidSect="0076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F8" w:rsidRDefault="00772EF8" w:rsidP="00A112AA">
      <w:pPr>
        <w:spacing w:after="0" w:line="240" w:lineRule="auto"/>
      </w:pPr>
      <w:r>
        <w:separator/>
      </w:r>
    </w:p>
  </w:endnote>
  <w:endnote w:type="continuationSeparator" w:id="1">
    <w:p w:rsidR="00772EF8" w:rsidRDefault="00772EF8" w:rsidP="00A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F8" w:rsidRDefault="00772EF8" w:rsidP="00A112AA">
      <w:pPr>
        <w:spacing w:after="0" w:line="240" w:lineRule="auto"/>
      </w:pPr>
      <w:r>
        <w:separator/>
      </w:r>
    </w:p>
  </w:footnote>
  <w:footnote w:type="continuationSeparator" w:id="1">
    <w:p w:rsidR="00772EF8" w:rsidRDefault="00772EF8" w:rsidP="00A1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962"/>
    <w:multiLevelType w:val="hybridMultilevel"/>
    <w:tmpl w:val="D34A57EC"/>
    <w:lvl w:ilvl="0" w:tplc="30B4F2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E6"/>
    <w:rsid w:val="00000F12"/>
    <w:rsid w:val="00003139"/>
    <w:rsid w:val="00007ED2"/>
    <w:rsid w:val="00017B06"/>
    <w:rsid w:val="00031CD6"/>
    <w:rsid w:val="00046018"/>
    <w:rsid w:val="00056FB3"/>
    <w:rsid w:val="00057813"/>
    <w:rsid w:val="000643D7"/>
    <w:rsid w:val="00070769"/>
    <w:rsid w:val="00073381"/>
    <w:rsid w:val="000733F8"/>
    <w:rsid w:val="00073E34"/>
    <w:rsid w:val="0008434E"/>
    <w:rsid w:val="00092A1C"/>
    <w:rsid w:val="000A4885"/>
    <w:rsid w:val="000A4D95"/>
    <w:rsid w:val="000B347E"/>
    <w:rsid w:val="000C0E3C"/>
    <w:rsid w:val="000D68DC"/>
    <w:rsid w:val="000E090E"/>
    <w:rsid w:val="000E352F"/>
    <w:rsid w:val="000F7345"/>
    <w:rsid w:val="001231EE"/>
    <w:rsid w:val="0012503C"/>
    <w:rsid w:val="00160EA2"/>
    <w:rsid w:val="00170B4C"/>
    <w:rsid w:val="00180C9E"/>
    <w:rsid w:val="00183ED6"/>
    <w:rsid w:val="001858DD"/>
    <w:rsid w:val="00194349"/>
    <w:rsid w:val="001A63D8"/>
    <w:rsid w:val="001B1D71"/>
    <w:rsid w:val="001C4822"/>
    <w:rsid w:val="001D1297"/>
    <w:rsid w:val="001D33BA"/>
    <w:rsid w:val="001D6093"/>
    <w:rsid w:val="001E1FBB"/>
    <w:rsid w:val="001E628C"/>
    <w:rsid w:val="001F7A01"/>
    <w:rsid w:val="002042E3"/>
    <w:rsid w:val="00206B60"/>
    <w:rsid w:val="002112FA"/>
    <w:rsid w:val="002134B4"/>
    <w:rsid w:val="00217331"/>
    <w:rsid w:val="00231ED2"/>
    <w:rsid w:val="00244CDD"/>
    <w:rsid w:val="00255BB5"/>
    <w:rsid w:val="0026563F"/>
    <w:rsid w:val="002715E7"/>
    <w:rsid w:val="00275291"/>
    <w:rsid w:val="00276EBA"/>
    <w:rsid w:val="002870E1"/>
    <w:rsid w:val="002A0484"/>
    <w:rsid w:val="002A04AD"/>
    <w:rsid w:val="002B0276"/>
    <w:rsid w:val="002B5CA0"/>
    <w:rsid w:val="002C3BF3"/>
    <w:rsid w:val="002E1464"/>
    <w:rsid w:val="002E4512"/>
    <w:rsid w:val="002F6B7A"/>
    <w:rsid w:val="00305EDD"/>
    <w:rsid w:val="0031249A"/>
    <w:rsid w:val="0031535E"/>
    <w:rsid w:val="00322A4B"/>
    <w:rsid w:val="00331DA5"/>
    <w:rsid w:val="00335543"/>
    <w:rsid w:val="00340C97"/>
    <w:rsid w:val="00351B13"/>
    <w:rsid w:val="00390596"/>
    <w:rsid w:val="003956BE"/>
    <w:rsid w:val="00395D5C"/>
    <w:rsid w:val="003A440E"/>
    <w:rsid w:val="003A4A1F"/>
    <w:rsid w:val="003B33E0"/>
    <w:rsid w:val="003B6A20"/>
    <w:rsid w:val="003C07B3"/>
    <w:rsid w:val="003C2333"/>
    <w:rsid w:val="003C2F23"/>
    <w:rsid w:val="003D2D30"/>
    <w:rsid w:val="003E22CC"/>
    <w:rsid w:val="003E6282"/>
    <w:rsid w:val="003F1CCE"/>
    <w:rsid w:val="003F4174"/>
    <w:rsid w:val="00403FC2"/>
    <w:rsid w:val="004075CF"/>
    <w:rsid w:val="004177B2"/>
    <w:rsid w:val="00433E45"/>
    <w:rsid w:val="0043554E"/>
    <w:rsid w:val="00436CE0"/>
    <w:rsid w:val="004404A0"/>
    <w:rsid w:val="004418E3"/>
    <w:rsid w:val="00446553"/>
    <w:rsid w:val="004500AC"/>
    <w:rsid w:val="004554A0"/>
    <w:rsid w:val="004559D6"/>
    <w:rsid w:val="004654F5"/>
    <w:rsid w:val="004733CF"/>
    <w:rsid w:val="00485351"/>
    <w:rsid w:val="00491FF9"/>
    <w:rsid w:val="004B2535"/>
    <w:rsid w:val="004C25CC"/>
    <w:rsid w:val="004C2CC3"/>
    <w:rsid w:val="004F1107"/>
    <w:rsid w:val="00501C78"/>
    <w:rsid w:val="005132C9"/>
    <w:rsid w:val="0051337C"/>
    <w:rsid w:val="00515E7D"/>
    <w:rsid w:val="005221FF"/>
    <w:rsid w:val="00536DF7"/>
    <w:rsid w:val="00537292"/>
    <w:rsid w:val="00544A89"/>
    <w:rsid w:val="00551811"/>
    <w:rsid w:val="005577E2"/>
    <w:rsid w:val="00570D0E"/>
    <w:rsid w:val="0058563B"/>
    <w:rsid w:val="005864EE"/>
    <w:rsid w:val="0059135C"/>
    <w:rsid w:val="005970DA"/>
    <w:rsid w:val="005A2CF7"/>
    <w:rsid w:val="005A7068"/>
    <w:rsid w:val="005B3B15"/>
    <w:rsid w:val="005B7287"/>
    <w:rsid w:val="005D2287"/>
    <w:rsid w:val="005D584E"/>
    <w:rsid w:val="005D7C8D"/>
    <w:rsid w:val="0060071B"/>
    <w:rsid w:val="00606C47"/>
    <w:rsid w:val="00627237"/>
    <w:rsid w:val="00630D0A"/>
    <w:rsid w:val="0063528F"/>
    <w:rsid w:val="00651B4C"/>
    <w:rsid w:val="006521DA"/>
    <w:rsid w:val="00652228"/>
    <w:rsid w:val="006549BD"/>
    <w:rsid w:val="00667C7A"/>
    <w:rsid w:val="00674957"/>
    <w:rsid w:val="00686B29"/>
    <w:rsid w:val="006968DB"/>
    <w:rsid w:val="006A01DA"/>
    <w:rsid w:val="006A4AC7"/>
    <w:rsid w:val="006A72BE"/>
    <w:rsid w:val="006B1200"/>
    <w:rsid w:val="006B434C"/>
    <w:rsid w:val="006B4997"/>
    <w:rsid w:val="006C07FA"/>
    <w:rsid w:val="006D25EE"/>
    <w:rsid w:val="006E3B73"/>
    <w:rsid w:val="006E706D"/>
    <w:rsid w:val="006F2926"/>
    <w:rsid w:val="006F3654"/>
    <w:rsid w:val="006F44C1"/>
    <w:rsid w:val="007049F9"/>
    <w:rsid w:val="0070533E"/>
    <w:rsid w:val="00715019"/>
    <w:rsid w:val="00715153"/>
    <w:rsid w:val="00730B41"/>
    <w:rsid w:val="00734249"/>
    <w:rsid w:val="0075532A"/>
    <w:rsid w:val="00767448"/>
    <w:rsid w:val="00770450"/>
    <w:rsid w:val="00772EF8"/>
    <w:rsid w:val="00773D67"/>
    <w:rsid w:val="00775378"/>
    <w:rsid w:val="00776AC4"/>
    <w:rsid w:val="00784686"/>
    <w:rsid w:val="007925F7"/>
    <w:rsid w:val="007A5436"/>
    <w:rsid w:val="007A7D6E"/>
    <w:rsid w:val="007B37EE"/>
    <w:rsid w:val="007C1199"/>
    <w:rsid w:val="007D0651"/>
    <w:rsid w:val="007E5027"/>
    <w:rsid w:val="007E61B7"/>
    <w:rsid w:val="007E6EAE"/>
    <w:rsid w:val="007F6D84"/>
    <w:rsid w:val="0080387A"/>
    <w:rsid w:val="00837015"/>
    <w:rsid w:val="00837260"/>
    <w:rsid w:val="0084480A"/>
    <w:rsid w:val="0084724F"/>
    <w:rsid w:val="00852680"/>
    <w:rsid w:val="00855DAC"/>
    <w:rsid w:val="00856104"/>
    <w:rsid w:val="00866A64"/>
    <w:rsid w:val="00866F11"/>
    <w:rsid w:val="0086753D"/>
    <w:rsid w:val="00867E88"/>
    <w:rsid w:val="008757AD"/>
    <w:rsid w:val="00881135"/>
    <w:rsid w:val="00884A77"/>
    <w:rsid w:val="00886905"/>
    <w:rsid w:val="00891048"/>
    <w:rsid w:val="00891C6B"/>
    <w:rsid w:val="00896A9E"/>
    <w:rsid w:val="008A356B"/>
    <w:rsid w:val="008C164D"/>
    <w:rsid w:val="008D19FA"/>
    <w:rsid w:val="008E4917"/>
    <w:rsid w:val="008F31C7"/>
    <w:rsid w:val="0090613E"/>
    <w:rsid w:val="009324E6"/>
    <w:rsid w:val="00951EA4"/>
    <w:rsid w:val="00954B8C"/>
    <w:rsid w:val="009567D8"/>
    <w:rsid w:val="0097170A"/>
    <w:rsid w:val="0098768F"/>
    <w:rsid w:val="009A0425"/>
    <w:rsid w:val="009A554C"/>
    <w:rsid w:val="009B4802"/>
    <w:rsid w:val="009B7945"/>
    <w:rsid w:val="009C7B8D"/>
    <w:rsid w:val="009D0876"/>
    <w:rsid w:val="009E1367"/>
    <w:rsid w:val="009E2FE6"/>
    <w:rsid w:val="009E365D"/>
    <w:rsid w:val="009E7A04"/>
    <w:rsid w:val="009F256F"/>
    <w:rsid w:val="009F33D8"/>
    <w:rsid w:val="009F5D8B"/>
    <w:rsid w:val="00A112AA"/>
    <w:rsid w:val="00A23D1D"/>
    <w:rsid w:val="00A46874"/>
    <w:rsid w:val="00A5282B"/>
    <w:rsid w:val="00A534F1"/>
    <w:rsid w:val="00A54CA0"/>
    <w:rsid w:val="00A54E43"/>
    <w:rsid w:val="00A56389"/>
    <w:rsid w:val="00A6228C"/>
    <w:rsid w:val="00A632FA"/>
    <w:rsid w:val="00A64CA8"/>
    <w:rsid w:val="00A8668D"/>
    <w:rsid w:val="00A91BA9"/>
    <w:rsid w:val="00AA12B5"/>
    <w:rsid w:val="00AA4DA9"/>
    <w:rsid w:val="00AA517D"/>
    <w:rsid w:val="00AA51B0"/>
    <w:rsid w:val="00AB6771"/>
    <w:rsid w:val="00AC5D58"/>
    <w:rsid w:val="00AC651F"/>
    <w:rsid w:val="00AD0C47"/>
    <w:rsid w:val="00AD1910"/>
    <w:rsid w:val="00AE1577"/>
    <w:rsid w:val="00AE3BEF"/>
    <w:rsid w:val="00AF2AA1"/>
    <w:rsid w:val="00B16AA4"/>
    <w:rsid w:val="00B26534"/>
    <w:rsid w:val="00B26C1F"/>
    <w:rsid w:val="00B42503"/>
    <w:rsid w:val="00B4664F"/>
    <w:rsid w:val="00B46D94"/>
    <w:rsid w:val="00B500C4"/>
    <w:rsid w:val="00B50E78"/>
    <w:rsid w:val="00B54D3B"/>
    <w:rsid w:val="00B55FFD"/>
    <w:rsid w:val="00B620E6"/>
    <w:rsid w:val="00B65D2B"/>
    <w:rsid w:val="00B72240"/>
    <w:rsid w:val="00B7355B"/>
    <w:rsid w:val="00B84C88"/>
    <w:rsid w:val="00B91C59"/>
    <w:rsid w:val="00B95C29"/>
    <w:rsid w:val="00BB4011"/>
    <w:rsid w:val="00BC3D3D"/>
    <w:rsid w:val="00BC47EA"/>
    <w:rsid w:val="00BD4BB9"/>
    <w:rsid w:val="00BE0FBB"/>
    <w:rsid w:val="00BF5F7F"/>
    <w:rsid w:val="00C077D2"/>
    <w:rsid w:val="00C273BA"/>
    <w:rsid w:val="00C46243"/>
    <w:rsid w:val="00C51493"/>
    <w:rsid w:val="00C54E60"/>
    <w:rsid w:val="00C74CB4"/>
    <w:rsid w:val="00C76581"/>
    <w:rsid w:val="00C77705"/>
    <w:rsid w:val="00C84A87"/>
    <w:rsid w:val="00C94C6E"/>
    <w:rsid w:val="00C979EB"/>
    <w:rsid w:val="00CA6416"/>
    <w:rsid w:val="00CD02B8"/>
    <w:rsid w:val="00CE3E12"/>
    <w:rsid w:val="00CF0984"/>
    <w:rsid w:val="00D01E32"/>
    <w:rsid w:val="00D022C9"/>
    <w:rsid w:val="00D14F57"/>
    <w:rsid w:val="00D20FD6"/>
    <w:rsid w:val="00D21BDF"/>
    <w:rsid w:val="00D461DB"/>
    <w:rsid w:val="00D475B4"/>
    <w:rsid w:val="00D50E7D"/>
    <w:rsid w:val="00D53F6E"/>
    <w:rsid w:val="00D57176"/>
    <w:rsid w:val="00D61B60"/>
    <w:rsid w:val="00D63923"/>
    <w:rsid w:val="00D70BCB"/>
    <w:rsid w:val="00D74ECE"/>
    <w:rsid w:val="00D7613F"/>
    <w:rsid w:val="00D83940"/>
    <w:rsid w:val="00DA49FF"/>
    <w:rsid w:val="00DB73DB"/>
    <w:rsid w:val="00DC0A45"/>
    <w:rsid w:val="00DC107E"/>
    <w:rsid w:val="00DD3296"/>
    <w:rsid w:val="00DE1E33"/>
    <w:rsid w:val="00DF63FE"/>
    <w:rsid w:val="00DF7975"/>
    <w:rsid w:val="00E364B1"/>
    <w:rsid w:val="00E60988"/>
    <w:rsid w:val="00E66F5D"/>
    <w:rsid w:val="00E703CF"/>
    <w:rsid w:val="00E861B2"/>
    <w:rsid w:val="00E97548"/>
    <w:rsid w:val="00E97F30"/>
    <w:rsid w:val="00EA2EAB"/>
    <w:rsid w:val="00EA3689"/>
    <w:rsid w:val="00EA45F2"/>
    <w:rsid w:val="00EC3E9D"/>
    <w:rsid w:val="00EC774B"/>
    <w:rsid w:val="00ED3765"/>
    <w:rsid w:val="00F05AF3"/>
    <w:rsid w:val="00F065E1"/>
    <w:rsid w:val="00F163B3"/>
    <w:rsid w:val="00F33167"/>
    <w:rsid w:val="00F379C6"/>
    <w:rsid w:val="00F37D7E"/>
    <w:rsid w:val="00F417CF"/>
    <w:rsid w:val="00F76994"/>
    <w:rsid w:val="00F804E1"/>
    <w:rsid w:val="00F81C2E"/>
    <w:rsid w:val="00F841B3"/>
    <w:rsid w:val="00F93ADE"/>
    <w:rsid w:val="00FA22CC"/>
    <w:rsid w:val="00FA2807"/>
    <w:rsid w:val="00FA3138"/>
    <w:rsid w:val="00FA511E"/>
    <w:rsid w:val="00FA6118"/>
    <w:rsid w:val="00FA7364"/>
    <w:rsid w:val="00FB053F"/>
    <w:rsid w:val="00FB0CF8"/>
    <w:rsid w:val="00FC0124"/>
    <w:rsid w:val="00FC0960"/>
    <w:rsid w:val="00FC66D0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A23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Должность участников опроса, занимаемая в организации</a:t>
            </a:r>
            <a:endParaRPr lang="ru-RU" sz="1198" b="0"/>
          </a:p>
        </c:rich>
      </c:tx>
      <c:layout>
        <c:manualLayout>
          <c:xMode val="edge"/>
          <c:yMode val="edge"/>
          <c:x val="0.1844472554084681"/>
          <c:y val="4.3022528803466471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0151132487"/>
          <c:y val="0.1327037524305662"/>
          <c:w val="0.75895172470515482"/>
          <c:h val="0.711220994427638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собственник бизнеса</c:v>
                </c:pt>
                <c:pt idx="1">
                  <c:v>руководитель высшего звена</c:v>
                </c:pt>
                <c:pt idx="2">
                  <c:v>руководитель среднего звена</c:v>
                </c:pt>
                <c:pt idx="3">
                  <c:v>не руководящий сотрудник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0.27</c:v>
                </c:pt>
                <c:pt idx="2">
                  <c:v>0.11</c:v>
                </c:pt>
                <c:pt idx="3">
                  <c:v>0.11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61794176"/>
        <c:axId val="61795712"/>
        <c:axId val="0"/>
      </c:bar3DChart>
      <c:catAx>
        <c:axId val="617941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61795712"/>
        <c:crosses val="autoZero"/>
        <c:auto val="1"/>
        <c:lblAlgn val="ctr"/>
        <c:lblOffset val="100"/>
      </c:catAx>
      <c:valAx>
        <c:axId val="61795712"/>
        <c:scaling>
          <c:orientation val="minMax"/>
        </c:scaling>
        <c:delete val="1"/>
        <c:axPos val="l"/>
        <c:numFmt formatCode="0%" sourceLinked="1"/>
        <c:tickLblPos val="nextTo"/>
        <c:crossAx val="6179417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style val="3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27,3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Административные барьеры отсутствуют, как и ранее</c:v>
                </c:pt>
                <c:pt idx="2">
                  <c:v>Ранее административные барьеры отсутствовали, однако сейчас появились </c:v>
                </c:pt>
                <c:pt idx="3">
                  <c:v>Бизнесу стало сложнее преодолевать административные барьеры, чем раньше </c:v>
                </c:pt>
                <c:pt idx="4">
                  <c:v>Уровень и количество административных барьеров не изменились </c:v>
                </c:pt>
                <c:pt idx="5">
                  <c:v>Бизнесу стало проще преодолевать административные барьеры, чем раньше </c:v>
                </c:pt>
                <c:pt idx="6">
                  <c:v>Административные барьеры были полностью устранены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10.9</c:v>
                </c:pt>
                <c:pt idx="1">
                  <c:v>9.1</c:v>
                </c:pt>
                <c:pt idx="2">
                  <c:v>0</c:v>
                </c:pt>
                <c:pt idx="3">
                  <c:v>5.4</c:v>
                </c:pt>
                <c:pt idx="4">
                  <c:v>27.3</c:v>
                </c:pt>
                <c:pt idx="5">
                  <c:v>40</c:v>
                </c:pt>
                <c:pt idx="6">
                  <c:v>7.3</c:v>
                </c:pt>
              </c:numCache>
            </c:numRef>
          </c:val>
        </c:ser>
        <c:axId val="84715392"/>
        <c:axId val="84716928"/>
      </c:barChart>
      <c:catAx>
        <c:axId val="847153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716928"/>
        <c:crosses val="autoZero"/>
        <c:auto val="1"/>
        <c:lblAlgn val="ctr"/>
        <c:lblOffset val="100"/>
      </c:catAx>
      <c:valAx>
        <c:axId val="84716928"/>
        <c:scaling>
          <c:orientation val="minMax"/>
        </c:scaling>
        <c:axPos val="b"/>
        <c:numFmt formatCode="General" sourceLinked="1"/>
        <c:tickLblPos val="nextTo"/>
        <c:crossAx val="8471539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Оценка</a:t>
            </a:r>
            <a:r>
              <a:rPr lang="ru-RU" sz="1397" b="1" baseline="0">
                <a:latin typeface="+mj-lt"/>
              </a:rPr>
              <a:t> с</a:t>
            </a:r>
            <a:r>
              <a:rPr lang="ru-RU" sz="1397" b="1">
                <a:latin typeface="+mj-lt"/>
              </a:rPr>
              <a:t>остояния</a:t>
            </a:r>
            <a:r>
              <a:rPr lang="ru-RU" sz="1397" b="1" baseline="0">
                <a:latin typeface="+mj-lt"/>
              </a:rPr>
              <a:t> конкуренции</a:t>
            </a:r>
            <a:endParaRPr lang="ru-RU" sz="1198" b="0"/>
          </a:p>
        </c:rich>
      </c:tx>
      <c:layout>
        <c:manualLayout>
          <c:xMode val="edge"/>
          <c:yMode val="edge"/>
          <c:x val="0.28763254256773935"/>
          <c:y val="5.5309427897307688E-2"/>
        </c:manualLayout>
      </c:layout>
    </c:title>
    <c:view3D>
      <c:rotX val="0"/>
      <c:rotY val="5"/>
      <c:depthPercent val="100"/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97E-2"/>
          <c:y val="0.13270703540836637"/>
          <c:w val="0.92023824697405254"/>
          <c:h val="0.716943058244359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-1.0326868424583371E-2"/>
                </c:manualLayout>
              </c:layout>
              <c:showVal val="1"/>
            </c:dLbl>
            <c:dLbl>
              <c:idx val="1"/>
              <c:layout>
                <c:manualLayout>
                  <c:x val="2.1496934824848232E-3"/>
                  <c:y val="-6.1961210547500228E-2"/>
                </c:manualLayout>
              </c:layout>
              <c:showVal val="1"/>
            </c:dLbl>
            <c:dLbl>
              <c:idx val="5"/>
              <c:layout>
                <c:manualLayout>
                  <c:x val="6.4490804474544704E-3"/>
                  <c:y val="-7.2288078972083572E-2"/>
                </c:manualLayout>
              </c:layout>
              <c:showVal val="1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</c:v>
                </c:pt>
                <c:pt idx="1">
                  <c:v>3.5999999999999997E-2</c:v>
                </c:pt>
                <c:pt idx="2">
                  <c:v>0.23600000000000004</c:v>
                </c:pt>
                <c:pt idx="3">
                  <c:v>0.45500000000000002</c:v>
                </c:pt>
                <c:pt idx="4">
                  <c:v>0.21800000000000005</c:v>
                </c:pt>
                <c:pt idx="5">
                  <c:v>5.5000000000000014E-2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84896768"/>
        <c:axId val="84611840"/>
        <c:axId val="0"/>
      </c:bar3DChart>
      <c:catAx>
        <c:axId val="84896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84611840"/>
        <c:crosses val="autoZero"/>
        <c:auto val="1"/>
        <c:lblAlgn val="ctr"/>
        <c:lblOffset val="100"/>
      </c:catAx>
      <c:valAx>
        <c:axId val="84611840"/>
        <c:scaling>
          <c:orientation val="minMax"/>
        </c:scaling>
        <c:delete val="1"/>
        <c:axPos val="l"/>
        <c:numFmt formatCode="0.0%" sourceLinked="1"/>
        <c:tickLblPos val="nextTo"/>
        <c:crossAx val="84896768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Количество конкурентов бизнеса</a:t>
            </a:r>
            <a:endParaRPr lang="ru-RU" sz="1198" b="0"/>
          </a:p>
        </c:rich>
      </c:tx>
      <c:layout>
        <c:manualLayout>
          <c:xMode val="edge"/>
          <c:yMode val="edge"/>
          <c:x val="0.28763254256773935"/>
          <c:y val="5.5309427897307688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97E-2"/>
          <c:y val="0.13270703540836637"/>
          <c:w val="0.92023824697405254"/>
          <c:h val="0.716943058244359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Нет конкурентов </c:v>
                </c:pt>
                <c:pt idx="1">
                  <c:v>От 1 до 3 конкурентов </c:v>
                </c:pt>
                <c:pt idx="2">
                  <c:v>4 и более конкурентов </c:v>
                </c:pt>
                <c:pt idx="3">
                  <c:v>Большое число конкурентов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</c:v>
                </c:pt>
                <c:pt idx="1">
                  <c:v>0.14500000000000005</c:v>
                </c:pt>
                <c:pt idx="2">
                  <c:v>0.255</c:v>
                </c:pt>
                <c:pt idx="3">
                  <c:v>0.50900000000000001</c:v>
                </c:pt>
                <c:pt idx="4">
                  <c:v>9.1000000000000025E-2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84890368"/>
        <c:axId val="84891904"/>
        <c:axId val="0"/>
      </c:bar3DChart>
      <c:catAx>
        <c:axId val="84890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84891904"/>
        <c:crosses val="autoZero"/>
        <c:auto val="1"/>
        <c:lblAlgn val="ctr"/>
        <c:lblOffset val="100"/>
      </c:catAx>
      <c:valAx>
        <c:axId val="84891904"/>
        <c:scaling>
          <c:orientation val="minMax"/>
        </c:scaling>
        <c:delete val="1"/>
        <c:axPos val="l"/>
        <c:numFmt formatCode="0.0%" sourceLinked="1"/>
        <c:tickLblPos val="nextTo"/>
        <c:crossAx val="84890368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Изменение</a:t>
            </a:r>
            <a:r>
              <a:rPr lang="ru-RU" sz="1397" b="1" baseline="0">
                <a:latin typeface="+mj-lt"/>
              </a:rPr>
              <a:t> числа конкурентов бизнеса за  </a:t>
            </a:r>
          </a:p>
          <a:p>
            <a:pPr algn="ctr">
              <a:defRPr/>
            </a:pPr>
            <a:r>
              <a:rPr lang="ru-RU" sz="1397" b="1" baseline="0">
                <a:latin typeface="+mj-lt"/>
              </a:rPr>
              <a:t>последние  3 года</a:t>
            </a:r>
            <a:endParaRPr lang="ru-RU" sz="1198" b="0"/>
          </a:p>
        </c:rich>
      </c:tx>
      <c:layout>
        <c:manualLayout>
          <c:xMode val="edge"/>
          <c:yMode val="edge"/>
          <c:x val="0.18693226722077985"/>
          <c:y val="3.0596512374389151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97E-2"/>
          <c:y val="0.13270703540836637"/>
          <c:w val="0.92023824697405254"/>
          <c:h val="0.716943058244359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2"/>
              <c:layout>
                <c:manualLayout>
                  <c:x val="6.4490804474544704E-3"/>
                  <c:y val="-8.651620567485522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6550927442196373E-2"/>
                </c:manualLayout>
              </c:layout>
              <c:showVal val="1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Увеличилось на 1-3 конкурента </c:v>
                </c:pt>
                <c:pt idx="1">
                  <c:v>Увеличилось более чем на 4 конкурента </c:v>
                </c:pt>
                <c:pt idx="2">
                  <c:v>Сократилось на 1-3 конкурента </c:v>
                </c:pt>
                <c:pt idx="3">
                  <c:v>Сократилось более чем на 4 конкурента </c:v>
                </c:pt>
                <c:pt idx="4">
                  <c:v>Не изменилось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0.27300000000000002</c:v>
                </c:pt>
                <c:pt idx="1">
                  <c:v>0.27300000000000002</c:v>
                </c:pt>
                <c:pt idx="2">
                  <c:v>3.5999999999999997E-2</c:v>
                </c:pt>
                <c:pt idx="3">
                  <c:v>1.7999999999999999E-2</c:v>
                </c:pt>
                <c:pt idx="4">
                  <c:v>0.21800000000000005</c:v>
                </c:pt>
                <c:pt idx="5">
                  <c:v>0.18200000000000005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99952896"/>
        <c:axId val="99958784"/>
        <c:axId val="0"/>
      </c:bar3DChart>
      <c:catAx>
        <c:axId val="99952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99958784"/>
        <c:crosses val="autoZero"/>
        <c:auto val="1"/>
        <c:lblAlgn val="ctr"/>
        <c:lblOffset val="100"/>
      </c:catAx>
      <c:valAx>
        <c:axId val="99958784"/>
        <c:scaling>
          <c:orientation val="minMax"/>
        </c:scaling>
        <c:delete val="1"/>
        <c:axPos val="l"/>
        <c:numFmt formatCode="0.0%" sourceLinked="1"/>
        <c:tickLblPos val="nextTo"/>
        <c:crossAx val="9995289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Оценка</a:t>
            </a:r>
            <a:r>
              <a:rPr lang="ru-RU" sz="1397" b="1" baseline="0">
                <a:latin typeface="+mj-lt"/>
              </a:rPr>
              <a:t> </a:t>
            </a:r>
            <a:r>
              <a:rPr lang="ru-RU" sz="1397" b="1">
                <a:latin typeface="+mj-lt"/>
              </a:rPr>
              <a:t> состояния</a:t>
            </a:r>
            <a:r>
              <a:rPr lang="ru-RU" sz="1397" b="1" baseline="0">
                <a:latin typeface="+mj-lt"/>
              </a:rPr>
              <a:t> </a:t>
            </a:r>
            <a:r>
              <a:rPr lang="ru-RU" sz="1397" b="1">
                <a:latin typeface="+mj-lt"/>
              </a:rPr>
              <a:t> конкуренции между поставщиками основного закупаемого товара (работы, услуги)</a:t>
            </a:r>
            <a:endParaRPr lang="ru-RU" sz="1198" b="0"/>
          </a:p>
        </c:rich>
      </c:tx>
      <c:layout>
        <c:manualLayout>
          <c:xMode val="edge"/>
          <c:yMode val="edge"/>
          <c:x val="0.14823778453605307"/>
          <c:y val="3.0598608618182293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19312032953E-2"/>
          <c:y val="0.16996294293172373"/>
          <c:w val="0.92023824697405254"/>
          <c:h val="0.573192311376668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2"/>
              <c:layout>
                <c:manualLayout>
                  <c:x val="6.4490804474544704E-3"/>
                  <c:y val="-8.651620567485522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6550927442196373E-2"/>
                </c:manualLayout>
              </c:layout>
              <c:showVal val="1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скорее неудовлетворительно</c:v>
                </c:pt>
                <c:pt idx="2">
                  <c:v>скорее удовлетворительно</c:v>
                </c:pt>
                <c:pt idx="3">
                  <c:v>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5.3999999999999999E-2</c:v>
                </c:pt>
                <c:pt idx="1">
                  <c:v>0.18200000000000005</c:v>
                </c:pt>
                <c:pt idx="2">
                  <c:v>0.36400000000000016</c:v>
                </c:pt>
                <c:pt idx="3">
                  <c:v>0.32700000000000012</c:v>
                </c:pt>
                <c:pt idx="4">
                  <c:v>7.3000000000000009E-2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84975616"/>
        <c:axId val="84977152"/>
        <c:axId val="0"/>
      </c:bar3DChart>
      <c:catAx>
        <c:axId val="84975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84977152"/>
        <c:crosses val="autoZero"/>
        <c:auto val="1"/>
        <c:lblAlgn val="ctr"/>
        <c:lblOffset val="100"/>
      </c:catAx>
      <c:valAx>
        <c:axId val="84977152"/>
        <c:scaling>
          <c:orientation val="minMax"/>
        </c:scaling>
        <c:delete val="1"/>
        <c:axPos val="l"/>
        <c:numFmt formatCode="0.0%" sourceLinked="1"/>
        <c:tickLblPos val="nextTo"/>
        <c:crossAx val="8497561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7.8841731131089304E-2"/>
          <c:y val="4.5702666287593188E-2"/>
          <c:w val="0.64734410055183755"/>
          <c:h val="0.8501291009202607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 сфере розничной торговли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услуг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303</c:v>
                </c:pt>
                <c:pt idx="1">
                  <c:v>275</c:v>
                </c:pt>
              </c:numCache>
            </c:numRef>
          </c:val>
        </c:ser>
        <c:shape val="cylinder"/>
        <c:axId val="102025856"/>
        <c:axId val="101777792"/>
        <c:axId val="0"/>
      </c:bar3DChart>
      <c:catAx>
        <c:axId val="102025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777792"/>
        <c:crosses val="autoZero"/>
        <c:auto val="1"/>
        <c:lblAlgn val="ctr"/>
        <c:lblOffset val="100"/>
      </c:catAx>
      <c:valAx>
        <c:axId val="101777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02025856"/>
        <c:crosses val="autoZero"/>
        <c:crossBetween val="between"/>
      </c:valAx>
    </c:plotArea>
    <c:legend>
      <c:legendPos val="r"/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полученных обращений (жалоб) в сфере услуг за 2018 год</a:t>
            </a:r>
          </a:p>
        </c:rich>
      </c:tx>
      <c:layout>
        <c:manualLayout>
          <c:xMode val="edge"/>
          <c:yMode val="edge"/>
          <c:x val="0.13996876146300488"/>
          <c:y val="8.1210086834383761E-3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9935038042385014"/>
          <c:y val="9.0469048511793215E-2"/>
          <c:w val="0.71002666127719893"/>
          <c:h val="0.59011746615532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30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B8089F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Pt>
            <c:idx val="4"/>
            <c:spPr>
              <a:solidFill>
                <a:srgbClr val="0000FF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33CC"/>
              </a:solidFill>
            </c:spPr>
          </c:dPt>
          <c:dPt>
            <c:idx val="9"/>
            <c:spPr>
              <a:solidFill>
                <a:srgbClr val="7030A0"/>
              </a:solidFill>
            </c:spPr>
          </c:dPt>
          <c:dPt>
            <c:idx val="10"/>
            <c:spPr>
              <a:solidFill>
                <a:srgbClr val="92D050"/>
              </a:solidFill>
            </c:spPr>
          </c:dPt>
          <c:dPt>
            <c:idx val="11"/>
            <c:explosion val="44"/>
          </c:dPt>
          <c:dPt>
            <c:idx val="1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7.8049856569812559E-2"/>
                  <c:y val="4.800156790336766E-2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-4.735714877353242E-2"/>
                  <c:y val="-6.5665871936969669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9097108237811848E-2"/>
                  <c:y val="-4.0797028124861787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4.8219251255542404E-2"/>
                  <c:y val="1.231232619213918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9.9028528830566506E-3"/>
                  <c:y val="-5.4906769855232802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4388997543853121E-2"/>
                  <c:y val="-9.8657105841610498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5.701692256460273E-2"/>
                  <c:y val="2.3787141248375613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5.8972035762039417E-2"/>
                  <c:y val="4.3570019164365405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2.1815587827112962E-2"/>
                  <c:y val="3.3464739134721265E-4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-2.7818694776842241E-2"/>
                  <c:y val="5.1072904927806841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9.3497549769514417E-3"/>
                  <c:y val="-3.9680214364764085E-2"/>
                </c:manualLayout>
              </c:layout>
              <c:dLblPos val="bestFit"/>
              <c:showVal val="1"/>
            </c:dLbl>
            <c:dLbl>
              <c:idx val="11"/>
              <c:layout>
                <c:manualLayout>
                  <c:x val="2.1895881685731537E-2"/>
                  <c:y val="-2.2029399378353298E-2"/>
                </c:manualLayout>
              </c:layout>
              <c:dLblPos val="bestFit"/>
              <c:showVal val="1"/>
            </c:dLbl>
            <c:dLbl>
              <c:idx val="12"/>
              <c:layout>
                <c:manualLayout>
                  <c:x val="-9.1328939428003464E-2"/>
                  <c:y val="-0.1406229202319243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общественное питание</c:v>
                </c:pt>
                <c:pt idx="1">
                  <c:v>бытовое обслуживание населения</c:v>
                </c:pt>
                <c:pt idx="2">
                  <c:v>техническое обслуживание и ремонт автотранспортных средств</c:v>
                </c:pt>
                <c:pt idx="3">
                  <c:v>гостиничные услуги</c:v>
                </c:pt>
                <c:pt idx="4">
                  <c:v>туристические услуги</c:v>
                </c:pt>
                <c:pt idx="5">
                  <c:v>транспортные услуги</c:v>
                </c:pt>
                <c:pt idx="6">
                  <c:v>услуги связи</c:v>
                </c:pt>
                <c:pt idx="7">
                  <c:v>деятельность на финансовом рынке</c:v>
                </c:pt>
                <c:pt idx="8">
                  <c:v>долевое строительство жилья</c:v>
                </c:pt>
                <c:pt idx="9">
                  <c:v>жилищно-коммунальные услуги</c:v>
                </c:pt>
                <c:pt idx="10">
                  <c:v>медицинские услуги</c:v>
                </c:pt>
                <c:pt idx="11">
                  <c:v>риэлтерская деятельность</c:v>
                </c:pt>
                <c:pt idx="12">
                  <c:v>прочие виды деятельности</c:v>
                </c:pt>
              </c:strCache>
            </c:strRef>
          </c:cat>
          <c:val>
            <c:numRef>
              <c:f>Лист1!$B$2:$B$14</c:f>
              <c:numCache>
                <c:formatCode>0</c:formatCode>
                <c:ptCount val="13"/>
                <c:pt idx="0">
                  <c:v>10</c:v>
                </c:pt>
                <c:pt idx="1">
                  <c:v>4</c:v>
                </c:pt>
                <c:pt idx="2">
                  <c:v>22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21</c:v>
                </c:pt>
                <c:pt idx="7">
                  <c:v>25</c:v>
                </c:pt>
                <c:pt idx="8">
                  <c:v>1</c:v>
                </c:pt>
                <c:pt idx="9">
                  <c:v>66</c:v>
                </c:pt>
                <c:pt idx="10">
                  <c:v>9</c:v>
                </c:pt>
                <c:pt idx="11">
                  <c:v>1</c:v>
                </c:pt>
                <c:pt idx="12">
                  <c:v>106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56529411180027467"/>
          <c:w val="1"/>
          <c:h val="0.43470581802274727"/>
        </c:manualLayout>
      </c:layout>
      <c:txPr>
        <a:bodyPr/>
        <a:lstStyle/>
        <a:p>
          <a:pPr>
            <a:defRPr sz="1000" b="1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субъектов предпринимательской деятельностии по численности работников</a:t>
            </a:r>
          </a:p>
        </c:rich>
      </c:tx>
      <c:layout>
        <c:manualLayout>
          <c:xMode val="edge"/>
          <c:yMode val="edge"/>
          <c:x val="0.13012467037327982"/>
          <c:y val="3.2578583623327342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4139244956556737"/>
          <c:y val="0.20419344560194691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34,5%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</c:dLbl>
            <c:dLbl>
              <c:idx val="3"/>
              <c:layout>
                <c:manualLayout>
                  <c:x val="7.3934221749176847E-3"/>
                  <c:y val="1.3690359096814162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15 человек</c:v>
                </c:pt>
                <c:pt idx="1">
                  <c:v>от 16 до 100 человек</c:v>
                </c:pt>
                <c:pt idx="2">
                  <c:v>от 101 до 250 человек</c:v>
                </c:pt>
                <c:pt idx="3">
                  <c:v>от 250 до 1000 человек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0.34500000000000008</c:v>
                </c:pt>
                <c:pt idx="1">
                  <c:v>0.52800000000000002</c:v>
                </c:pt>
                <c:pt idx="2">
                  <c:v>0.10900000000000003</c:v>
                </c:pt>
                <c:pt idx="3">
                  <c:v>1.7999999999999999E-2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924179030545754"/>
          <c:w val="1"/>
          <c:h val="0.16075809893739276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Присутствие организации на рынке</a:t>
            </a:r>
          </a:p>
        </c:rich>
      </c:tx>
      <c:layout>
        <c:manualLayout>
          <c:xMode val="edge"/>
          <c:yMode val="edge"/>
          <c:x val="0.26759238442332939"/>
          <c:y val="4.5875359900836056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4555603074494111"/>
          <c:y val="0.20112030167600686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0.10853599784981499"/>
                  <c:y val="-0.13871442515080759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5,5%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3095505741433491"/>
                  <c:y val="6.953605588278132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6615960390616938"/>
                  <c:y val="-0.1296352511663382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6.9831822400127114E-2"/>
                  <c:y val="-0.17847960702582277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9.5356986495418225E-2"/>
                  <c:y val="-0.17760683076847458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от 1 года до 5 лет</c:v>
                </c:pt>
                <c:pt idx="2">
                  <c:v>более 5 лет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5.5000000000000014E-2</c:v>
                </c:pt>
                <c:pt idx="1">
                  <c:v>0.34500000000000008</c:v>
                </c:pt>
                <c:pt idx="2">
                  <c:v>0.6000000000000002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519405225459475"/>
          <c:w val="1"/>
          <c:h val="0.16480589492487793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Распределение предприятий по величине годового оборота бизнеса</a:t>
            </a:r>
          </a:p>
        </c:rich>
      </c:tx>
      <c:layout>
        <c:manualLayout>
          <c:xMode val="edge"/>
          <c:yMode val="edge"/>
          <c:x val="0.18601670091788533"/>
          <c:y val="3.2583314433283765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3924275608308243"/>
          <c:y val="0.21129160851712775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41,8%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до 120 мнл. рублей</c:v>
                </c:pt>
                <c:pt idx="1">
                  <c:v>от 120 до 800 млн. рублей</c:v>
                </c:pt>
                <c:pt idx="2">
                  <c:v>от 800 до 2000 млн. рублей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0.41800000000000009</c:v>
                </c:pt>
                <c:pt idx="1">
                  <c:v>0.47300000000000009</c:v>
                </c:pt>
                <c:pt idx="2">
                  <c:v>0.10900000000000003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4630934209739073"/>
          <c:w val="0.99815668015557013"/>
          <c:h val="0.15369074482678033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0"/>
  <c:chart>
    <c:autoTitleDeleted val="1"/>
    <c:plotArea>
      <c:layout>
        <c:manualLayout>
          <c:layoutTarget val="inner"/>
          <c:xMode val="edge"/>
          <c:yMode val="edge"/>
          <c:x val="0.4945908861001751"/>
          <c:y val="1.5197568389057756E-2"/>
          <c:w val="0.46471900973315833"/>
          <c:h val="0.9475469200548869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i="1"/>
                      <a:t>1,8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i="1"/>
                      <a:t>12,7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i="1"/>
                      <a:t>9,1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i="1"/>
                      <a:t>3,6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i="1"/>
                      <a:t>3,6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 i="1"/>
                      <a:t>5,5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 i="1"/>
                      <a:t>3,6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 i="1"/>
                      <a:t>1,8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 i="1"/>
                      <a:t>3,6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 i="1"/>
                      <a:t>10,9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 i="1"/>
                      <a:t>14,8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200" i="1"/>
                      <a:t>5,5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200" i="1"/>
                      <a:t>10,9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200" i="1"/>
                      <a:t>1,8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200" i="1"/>
                      <a:t>3,6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200" i="1"/>
                      <a:t>1,8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200" i="1"/>
                      <a:t>3,6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200" i="1"/>
                      <a:t>1,8</a:t>
                    </a:r>
                    <a:r>
                      <a:rPr lang="ru-RU" sz="1200" i="1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i="1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Сельское хозяйство, охота и лесное хозяйство </c:v>
                </c:pt>
                <c:pt idx="1">
                  <c:v>Производство пищевых продуктов, включая напитки, и табака </c:v>
                </c:pt>
                <c:pt idx="2">
                  <c:v>Текстильное и швейное производство </c:v>
                </c:pt>
                <c:pt idx="3">
                  <c:v>Обработка древесины и производство изделий из дерева </c:v>
                </c:pt>
                <c:pt idx="4">
                  <c:v>Целлюлозно-бумажное производство; издательская и полиграфическая деятельность </c:v>
                </c:pt>
                <c:pt idx="5">
                  <c:v>Производство резиновых и пластмассовых изделий </c:v>
                </c:pt>
                <c:pt idx="6">
                  <c:v>Производство готовых металлических изделий </c:v>
                </c:pt>
                <c:pt idx="7">
                  <c:v>Производство машин и оборудования </c:v>
                </c:pt>
                <c:pt idx="8">
                  <c:v>Строительство </c:v>
                </c:pt>
                <c:pt idx="9">
                  <c:v>Оптовая торговля (кроме торговли автотранспортными средствами и мотоциклами) </c:v>
                </c:pt>
                <c:pt idx="10">
                  <c:v>Розничная торговля (кроме торговли автотранспортными средствами и мотоциклами) </c:v>
                </c:pt>
                <c:pt idx="11">
                  <c:v>Гостиницы и рестораны </c:v>
                </c:pt>
                <c:pt idx="12">
                  <c:v>Транспорт и связь </c:v>
                </c:pt>
                <c:pt idx="13">
                  <c:v>Финансовые услуги </c:v>
                </c:pt>
                <c:pt idx="14">
                  <c:v>Операции с недвижимым имуществом, аренда и предоставление услуг </c:v>
                </c:pt>
                <c:pt idx="15">
                  <c:v>Образование </c:v>
                </c:pt>
                <c:pt idx="16">
                  <c:v>Здравоохранение и предоставление социальных услуг </c:v>
                </c:pt>
                <c:pt idx="17">
                  <c:v>Предоставление коммунальных услуг 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1.8</c:v>
                </c:pt>
                <c:pt idx="1">
                  <c:v>12.7</c:v>
                </c:pt>
                <c:pt idx="2">
                  <c:v>9.1</c:v>
                </c:pt>
                <c:pt idx="3">
                  <c:v>3.6</c:v>
                </c:pt>
                <c:pt idx="4">
                  <c:v>3.6</c:v>
                </c:pt>
                <c:pt idx="5">
                  <c:v>5.5</c:v>
                </c:pt>
                <c:pt idx="6">
                  <c:v>3.6</c:v>
                </c:pt>
                <c:pt idx="7">
                  <c:v>1.8</c:v>
                </c:pt>
                <c:pt idx="8">
                  <c:v>3.6</c:v>
                </c:pt>
                <c:pt idx="9">
                  <c:v>10.9</c:v>
                </c:pt>
                <c:pt idx="10">
                  <c:v>14.8</c:v>
                </c:pt>
                <c:pt idx="11">
                  <c:v>5.5</c:v>
                </c:pt>
                <c:pt idx="12">
                  <c:v>10.9</c:v>
                </c:pt>
                <c:pt idx="13">
                  <c:v>1.8</c:v>
                </c:pt>
                <c:pt idx="14">
                  <c:v>3.6</c:v>
                </c:pt>
                <c:pt idx="15">
                  <c:v>1.8</c:v>
                </c:pt>
                <c:pt idx="16">
                  <c:v>3.6</c:v>
                </c:pt>
                <c:pt idx="17">
                  <c:v>1.8</c:v>
                </c:pt>
              </c:numCache>
            </c:numRef>
          </c:val>
        </c:ser>
        <c:axId val="83956864"/>
        <c:axId val="83958400"/>
      </c:barChart>
      <c:catAx>
        <c:axId val="83956864"/>
        <c:scaling>
          <c:orientation val="minMax"/>
        </c:scaling>
        <c:axPos val="l"/>
        <c:tickLblPos val="nextTo"/>
        <c:txPr>
          <a:bodyPr/>
          <a:lstStyle/>
          <a:p>
            <a:pPr algn="just">
              <a:defRPr baseline="0"/>
            </a:pPr>
            <a:endParaRPr lang="ru-RU"/>
          </a:p>
        </c:txPr>
        <c:crossAx val="83958400"/>
        <c:crosses val="autoZero"/>
        <c:auto val="1"/>
        <c:lblAlgn val="ctr"/>
        <c:lblOffset val="100"/>
      </c:catAx>
      <c:valAx>
        <c:axId val="83958400"/>
        <c:scaling>
          <c:orientation val="minMax"/>
        </c:scaling>
        <c:axPos val="b"/>
        <c:numFmt formatCode="0.0" sourceLinked="1"/>
        <c:tickLblPos val="nextTo"/>
        <c:crossAx val="8395686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97" b="1" baseline="0">
                <a:latin typeface="Times New Roman" pitchFamily="18" charset="0"/>
                <a:cs typeface="Times New Roman" pitchFamily="18" charset="0"/>
              </a:rPr>
              <a:t>Основная продукция (товар, работа, услуга) бизнеса респондентов</a:t>
            </a:r>
            <a:endParaRPr lang="ru-RU" sz="1198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29961095405895"/>
          <c:y val="3.5166377466250558E-2"/>
        </c:manualLayout>
      </c:layout>
    </c:title>
    <c:view3D>
      <c:rotX val="0"/>
      <c:rotY val="5"/>
      <c:depthPercent val="100"/>
      <c:rAngAx val="1"/>
    </c:view3D>
    <c:side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731339434"/>
          <c:y val="0.12459318297876704"/>
          <c:w val="0.75895172470515482"/>
          <c:h val="0.7281948073643770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-3.513348276235573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1.7197568136939994E-2"/>
                  <c:y val="-0.11891083209193445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2.1496934824848232E-3"/>
                  <c:y val="-0.16485711142336146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2.1496934824848232E-3"/>
                  <c:y val="7.5672116718919963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6.4490804474544704E-3"/>
                  <c:y val="-5.6754087539190104E-2"/>
                </c:manualLayout>
              </c:layout>
              <c:showVal val="1"/>
              <c:showCatName val="1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услуги</c:v>
                </c:pt>
                <c:pt idx="1">
                  <c:v>сырье или материалы для дальнейшей переработки </c:v>
                </c:pt>
                <c:pt idx="2">
                  <c:v>конечная продукция</c:v>
                </c:pt>
                <c:pt idx="3">
                  <c:v>торговля или дистрибуция товаров и услуг, произведенных другими компаниями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0.255</c:v>
                </c:pt>
                <c:pt idx="1">
                  <c:v>3.5999999999999997E-2</c:v>
                </c:pt>
                <c:pt idx="2">
                  <c:v>0.31000000000000011</c:v>
                </c:pt>
                <c:pt idx="3">
                  <c:v>0.36300000000000016</c:v>
                </c:pt>
                <c:pt idx="4">
                  <c:v>3.5999999999999997E-2</c:v>
                </c:pt>
              </c:numCache>
            </c:numRef>
          </c:val>
        </c:ser>
        <c:dLbls>
          <c:showVal val="1"/>
        </c:dLbls>
        <c:gapWidth val="80"/>
        <c:gapDepth val="0"/>
        <c:shape val="cylinder"/>
        <c:axId val="84576512"/>
        <c:axId val="84692992"/>
        <c:axId val="0"/>
      </c:bar3DChart>
      <c:catAx>
        <c:axId val="8457651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84692992"/>
        <c:crosses val="autoZero"/>
        <c:auto val="1"/>
        <c:lblAlgn val="ctr"/>
        <c:lblOffset val="100"/>
      </c:catAx>
      <c:valAx>
        <c:axId val="84692992"/>
        <c:scaling>
          <c:orientation val="minMax"/>
        </c:scaling>
        <c:delete val="1"/>
        <c:axPos val="l"/>
        <c:numFmt formatCode="0.0%" sourceLinked="1"/>
        <c:tickLblPos val="nextTo"/>
        <c:crossAx val="8457651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/>
              <a:t>Основные географические рынки для бизнеса</a:t>
            </a:r>
          </a:p>
        </c:rich>
      </c:tx>
      <c:layout>
        <c:manualLayout>
          <c:xMode val="edge"/>
          <c:yMode val="edge"/>
          <c:x val="0.21181302270770319"/>
          <c:y val="3.5998144135252833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2204520822320392"/>
          <c:y val="0.13960206183355139"/>
          <c:w val="0.73581435015447882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0.1531956209220357"/>
                  <c:y val="1.5624421786985932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43,7%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6997947973693844"/>
                  <c:y val="-8.645320315931566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8.2939067699941388E-2"/>
                  <c:y val="-0.20108565945914927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2.6832237074290888E-2"/>
                  <c:y val="-2.0597388903995054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1.3793584400605375E-3"/>
                  <c:y val="-6.9750791196520875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локальный рынок</c:v>
                </c:pt>
                <c:pt idx="1">
                  <c:v>рынок Ставропольского края</c:v>
                </c:pt>
                <c:pt idx="2">
                  <c:v>рынок нескольких субъектов Российской Федерации</c:v>
                </c:pt>
                <c:pt idx="3">
                  <c:v>рынок Российской Федерации </c:v>
                </c:pt>
                <c:pt idx="4">
                  <c:v>рынки стран дальнего зарубежья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0.43700000000000011</c:v>
                </c:pt>
                <c:pt idx="1">
                  <c:v>0.36400000000000016</c:v>
                </c:pt>
                <c:pt idx="2">
                  <c:v>0.14500000000000005</c:v>
                </c:pt>
                <c:pt idx="3">
                  <c:v>3.5999999999999997E-2</c:v>
                </c:pt>
                <c:pt idx="4">
                  <c:v>1.7999999999999999E-2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7210216110019669"/>
          <c:w val="1"/>
          <c:h val="0.22702989489868389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влияния органов власти на конкурентную среду</a:t>
            </a:r>
          </a:p>
        </c:rich>
      </c:tx>
      <c:layout>
        <c:manualLayout>
          <c:xMode val="edge"/>
          <c:yMode val="edge"/>
          <c:x val="0.12164438348568235"/>
          <c:y val="1.9613457408733007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0054827339835561"/>
          <c:y val="0.14815599754576139"/>
          <c:w val="0.74656281785207024"/>
          <c:h val="0.61858363184306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</c:dLbl>
            <c:dLbl>
              <c:idx val="1"/>
              <c:layout>
                <c:manualLayout>
                  <c:x val="-9.0440651617796589E-2"/>
                  <c:y val="5.17437928181250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7795335300556787E-2"/>
                  <c:y val="-4.093309836653082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3.9735306718096816E-2"/>
                  <c:y val="2.618351234470387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0.13251049160443143"/>
                  <c:y val="-0.11962188992362967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0.10925876368250283"/>
                  <c:y val="-0.18595608124861646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органы власти помогают бизнесу своими действиями</c:v>
                </c:pt>
                <c:pt idx="1">
                  <c:v>органы власти ничего не предпринимают, что и требуется</c:v>
                </c:pt>
                <c:pt idx="2">
                  <c:v>органы власти не предпринимают каких- либо действий, но их участие необходимо</c:v>
                </c:pt>
                <c:pt idx="3">
                  <c:v>органы власти только мешают бизнесу своими действиями</c:v>
                </c:pt>
                <c:pt idx="4">
                  <c:v>в чем-то органы власти помогают, в чем-то мешают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</c:v>
                </c:pt>
                <c:pt idx="1">
                  <c:v>0.16400000000000001</c:v>
                </c:pt>
                <c:pt idx="2">
                  <c:v>3.5999999999999997E-2</c:v>
                </c:pt>
                <c:pt idx="3">
                  <c:v>1.7999999999999999E-2</c:v>
                </c:pt>
                <c:pt idx="4">
                  <c:v>0.2</c:v>
                </c:pt>
                <c:pt idx="5">
                  <c:v>0.18200000000000005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232794764290822"/>
          <c:w val="1"/>
          <c:h val="0.24767199525771838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l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Преодоление административных барьеров </a:t>
            </a:r>
          </a:p>
        </c:rich>
      </c:tx>
      <c:layout>
        <c:manualLayout>
          <c:xMode val="edge"/>
          <c:yMode val="edge"/>
          <c:x val="0.20548242930259039"/>
          <c:y val="3.2689947847428194E-2"/>
        </c:manualLayout>
      </c:layout>
      <c:spPr>
        <a:effectLst/>
      </c:spPr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9.8398579915870865E-2"/>
          <c:y val="8.645789663745912E-2"/>
          <c:w val="0.74656281785207024"/>
          <c:h val="0.61858363184306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-4.7153103370296219E-2"/>
                  <c:y val="-2.6264032952611392E-2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1,8%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0973660499754653"/>
                  <c:y val="-9.7589954300081647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4993052427638731E-2"/>
                  <c:y val="9.8661517437696244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4513748643958121"/>
                  <c:y val="-8.42056399189988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5.8812228336717856E-2"/>
                  <c:y val="-0.18454965463049744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Есть непреодолимые административные барьеры </c:v>
                </c:pt>
                <c:pt idx="1">
                  <c:v>Есть барьеры, преодолимые при осуществлении значительных затрат </c:v>
                </c:pt>
                <c:pt idx="2">
                  <c:v>Административные барьеры есть, но они преодолимы без существенных затрат </c:v>
                </c:pt>
                <c:pt idx="3">
                  <c:v>Нет административных барьеров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1.7999999999999999E-2</c:v>
                </c:pt>
                <c:pt idx="1">
                  <c:v>0.10900000000000003</c:v>
                </c:pt>
                <c:pt idx="2">
                  <c:v>0.38200000000000012</c:v>
                </c:pt>
                <c:pt idx="3">
                  <c:v>0.30900000000000011</c:v>
                </c:pt>
                <c:pt idx="4">
                  <c:v>0.18200000000000005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232794764290822"/>
          <c:w val="1"/>
          <c:h val="0.2476719319475609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8322-5AE3-418B-B201-9ED3C956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4551</TotalTime>
  <Pages>16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51</cp:revision>
  <cp:lastPrinted>2018-02-08T10:11:00Z</cp:lastPrinted>
  <dcterms:created xsi:type="dcterms:W3CDTF">2018-02-07T07:19:00Z</dcterms:created>
  <dcterms:modified xsi:type="dcterms:W3CDTF">2019-02-19T10:54:00Z</dcterms:modified>
</cp:coreProperties>
</file>