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E" w:rsidRDefault="002A65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656E" w:rsidRDefault="002A656E">
      <w:pPr>
        <w:pStyle w:val="ConsPlusNormal"/>
        <w:jc w:val="both"/>
        <w:outlineLvl w:val="0"/>
      </w:pPr>
    </w:p>
    <w:p w:rsidR="002A656E" w:rsidRDefault="002A656E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2A656E" w:rsidRDefault="002A656E">
      <w:pPr>
        <w:pStyle w:val="ConsPlusTitle"/>
        <w:jc w:val="both"/>
      </w:pPr>
    </w:p>
    <w:p w:rsidR="002A656E" w:rsidRDefault="002A656E">
      <w:pPr>
        <w:pStyle w:val="ConsPlusTitle"/>
        <w:jc w:val="center"/>
      </w:pPr>
      <w:r>
        <w:t>ПРИКАЗ</w:t>
      </w:r>
    </w:p>
    <w:p w:rsidR="002A656E" w:rsidRDefault="002A656E">
      <w:pPr>
        <w:pStyle w:val="ConsPlusTitle"/>
        <w:jc w:val="center"/>
      </w:pPr>
      <w:r>
        <w:t>от 5 февраля 2019 г. N 133/19</w:t>
      </w:r>
    </w:p>
    <w:p w:rsidR="002A656E" w:rsidRDefault="002A656E">
      <w:pPr>
        <w:pStyle w:val="ConsPlusTitle"/>
        <w:jc w:val="both"/>
      </w:pPr>
    </w:p>
    <w:p w:rsidR="002A656E" w:rsidRDefault="002A656E">
      <w:pPr>
        <w:pStyle w:val="ConsPlusTitle"/>
        <w:jc w:val="center"/>
      </w:pPr>
      <w:r>
        <w:t>ОБ УТВЕРЖДЕНИИ МЕТОДИКИ</w:t>
      </w:r>
    </w:p>
    <w:p w:rsidR="002A656E" w:rsidRDefault="002A656E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2A656E" w:rsidRDefault="002A656E">
      <w:pPr>
        <w:pStyle w:val="ConsPlusTitle"/>
        <w:jc w:val="center"/>
      </w:pPr>
      <w:r>
        <w:t>В ФЕДЕРАЛЬНОМ ОРГАНЕ ИСПОЛНИТЕЛЬНОЙ ВЛАСТИ</w:t>
      </w:r>
    </w:p>
    <w:p w:rsidR="002A656E" w:rsidRDefault="002A656E">
      <w:pPr>
        <w:pStyle w:val="ConsPlusTitle"/>
        <w:jc w:val="center"/>
      </w:pPr>
      <w:r>
        <w:t>АНТИМОНОПОЛЬНОГО КОМПЛАЕНСА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29</w:t>
        </w:r>
      </w:hyperlink>
      <w:r>
        <w:t xml:space="preserve"> распоряжения Правительства Российской Федерации от 18 октября 2018 года N 2258-р, приказываю: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в соответствии с приложением N 1 к настоящему приказу.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2. Контроль исполнения настоящего приказа оставляю за собой.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right"/>
      </w:pPr>
      <w:r>
        <w:t>Руководитель</w:t>
      </w:r>
    </w:p>
    <w:p w:rsidR="002A656E" w:rsidRDefault="002A656E">
      <w:pPr>
        <w:pStyle w:val="ConsPlusNormal"/>
        <w:jc w:val="right"/>
      </w:pPr>
      <w:r>
        <w:t>И.Ю.АРТЕМЬЕВ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right"/>
        <w:outlineLvl w:val="0"/>
      </w:pPr>
      <w:r>
        <w:t>Приложение N 1</w:t>
      </w:r>
    </w:p>
    <w:p w:rsidR="002A656E" w:rsidRDefault="002A656E">
      <w:pPr>
        <w:pStyle w:val="ConsPlusNormal"/>
        <w:jc w:val="right"/>
      </w:pPr>
      <w:r>
        <w:t>к приказу ФАС России</w:t>
      </w:r>
    </w:p>
    <w:p w:rsidR="002A656E" w:rsidRDefault="002A656E">
      <w:pPr>
        <w:pStyle w:val="ConsPlusNormal"/>
        <w:jc w:val="right"/>
      </w:pPr>
      <w:r>
        <w:t>от 05.02.2019 N 133/19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Title"/>
        <w:jc w:val="center"/>
      </w:pPr>
      <w:bookmarkStart w:id="0" w:name="P26"/>
      <w:bookmarkEnd w:id="0"/>
      <w:r>
        <w:t>МЕТОДИКА</w:t>
      </w:r>
    </w:p>
    <w:p w:rsidR="002A656E" w:rsidRDefault="002A656E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2A656E" w:rsidRDefault="002A656E">
      <w:pPr>
        <w:pStyle w:val="ConsPlusTitle"/>
        <w:jc w:val="center"/>
      </w:pPr>
      <w:r>
        <w:t>В ФЕДЕРАЛЬНОМ ОРГАНЕ ИСПОЛНИТЕЛЬНОЙ ВЛАСТИ</w:t>
      </w:r>
    </w:p>
    <w:p w:rsidR="002A656E" w:rsidRDefault="002A656E">
      <w:pPr>
        <w:pStyle w:val="ConsPlusTitle"/>
        <w:jc w:val="center"/>
      </w:pPr>
      <w:r>
        <w:t>АНТИМОНОПОЛЬНОГО КОМПЛАЕНСА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Title"/>
        <w:jc w:val="center"/>
        <w:outlineLvl w:val="1"/>
      </w:pPr>
      <w:r>
        <w:t>I. Общие положения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расчета ключевых показателей эффективности функционирования в федеральном органе исполнительной власти </w:t>
      </w:r>
      <w:r>
        <w:lastRenderedPageBreak/>
        <w:t xml:space="preserve">антимонопольного комплаенса (далее - Методика) разработана ФАС России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</w:t>
      </w:r>
      <w:proofErr w:type="gramEnd"/>
    </w:p>
    <w:p w:rsidR="002A656E" w:rsidRDefault="002A656E">
      <w:pPr>
        <w:pStyle w:val="ConsPlusNormal"/>
        <w:spacing w:before="280"/>
        <w:ind w:firstLine="540"/>
        <w:jc w:val="both"/>
      </w:pPr>
      <w:r>
        <w:t>2. В целях оценки эффективности функционирования в федеральном органе исполнительной власти антимонопольного комплаенса в соответствии с Методикой рассчитываются ключевые показатели эффективности антимонопольного комплаенса (далее -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Title"/>
        <w:jc w:val="center"/>
        <w:outlineLvl w:val="1"/>
      </w:pPr>
      <w:r>
        <w:t>II. Методика расчета КПЭ для федерального органа</w:t>
      </w:r>
    </w:p>
    <w:p w:rsidR="002A656E" w:rsidRDefault="002A656E">
      <w:pPr>
        <w:pStyle w:val="ConsPlusTitle"/>
        <w:jc w:val="center"/>
      </w:pPr>
      <w:r>
        <w:t>исполнительной власти в целом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 xml:space="preserve">3. </w:t>
      </w:r>
      <w:proofErr w:type="gramStart"/>
      <w:r>
        <w:t>Ключевыми показателями эффективности антимонопольного комплаенса для федерального органа исполнительной власти в целом являются:</w:t>
      </w:r>
      <w:proofErr w:type="gramEnd"/>
    </w:p>
    <w:p w:rsidR="002A656E" w:rsidRDefault="002A656E">
      <w:pPr>
        <w:pStyle w:val="ConsPlusNormal"/>
        <w:spacing w:before="280"/>
        <w:ind w:firstLine="540"/>
        <w:jc w:val="both"/>
      </w:pPr>
      <w:r>
        <w:t>а)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б)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в) доля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4.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 рассчитывается по формуле: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 w:rsidRPr="00457E93">
        <w:rPr>
          <w:position w:val="-29"/>
        </w:rPr>
        <w:pict>
          <v:shape id="_x0000_i1025" style="width:105.75pt;height:42.75pt" coordsize="" o:spt="100" adj="0,,0" path="" filled="f" stroked="f">
            <v:stroke joinstyle="miter"/>
            <v:imagedata r:id="rId8" o:title="base_1_317658_32768"/>
            <v:formulas/>
            <v:path o:connecttype="segments"/>
          </v:shape>
        </w:pict>
      </w:r>
      <w:r>
        <w:t>, где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>КСН - 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КН</w:t>
      </w:r>
      <w:r>
        <w:rPr>
          <w:vertAlign w:val="subscript"/>
        </w:rPr>
        <w:t>2017</w:t>
      </w:r>
      <w:r>
        <w:t xml:space="preserve"> - количество нарушений антимонопольного законодательства со </w:t>
      </w:r>
      <w:r>
        <w:lastRenderedPageBreak/>
        <w:t>стороны федерального органа исполнительной власти в 2017 году;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КНоп - количество нарушений антимонопольного законодательства со стороны органа государственной власти в отчетном периоде.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При расчете </w:t>
      </w:r>
      <w:proofErr w:type="gramStart"/>
      <w:r>
        <w:t>коэффициента снижения количества нарушений антимонопольного законодательства</w:t>
      </w:r>
      <w:proofErr w:type="gramEnd"/>
      <w:r>
        <w:t xml:space="preserve">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понимаются: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5. Доля проектов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 w:rsidRPr="00457E93">
        <w:rPr>
          <w:position w:val="-29"/>
        </w:rPr>
        <w:pict>
          <v:shape id="_x0000_i1026" style="width:117.75pt;height:42.75pt" coordsize="" o:spt="100" adj="0,,0" path="" filled="f" stroked="f">
            <v:stroke joinstyle="miter"/>
            <v:imagedata r:id="rId9" o:title="base_1_317658_32769"/>
            <v:formulas/>
            <v:path o:connecttype="segments"/>
          </v:shape>
        </w:pict>
      </w:r>
      <w:r>
        <w:t>, где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>Дпнпа 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Кпнпа - количество проектов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КНоп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lastRenderedPageBreak/>
        <w:t xml:space="preserve">6. Доля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 w:rsidRPr="00457E93">
        <w:rPr>
          <w:position w:val="-29"/>
        </w:rPr>
        <w:pict>
          <v:shape id="_x0000_i1027" style="width:104.25pt;height:42.75pt" coordsize="" o:spt="100" adj="0,,0" path="" filled="f" stroked="f">
            <v:stroke joinstyle="miter"/>
            <v:imagedata r:id="rId10" o:title="base_1_317658_32770"/>
            <v:formulas/>
            <v:path o:connecttype="segments"/>
          </v:shape>
        </w:pict>
      </w:r>
      <w:r>
        <w:t>, где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>Днпа 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Кпнпа - количество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КНоп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Title"/>
        <w:jc w:val="center"/>
        <w:outlineLvl w:val="1"/>
      </w:pPr>
      <w:r>
        <w:t>III. Методика расчета ключевых показателей</w:t>
      </w:r>
    </w:p>
    <w:p w:rsidR="002A656E" w:rsidRDefault="002A656E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2A656E" w:rsidRDefault="002A656E">
      <w:pPr>
        <w:pStyle w:val="ConsPlusTitle"/>
        <w:jc w:val="center"/>
      </w:pPr>
      <w:r>
        <w:t>для уполномоченного подразделения (должностного лица)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 xml:space="preserve">7. Для уполномоченного подразделения (должностного лица) рассчитываются </w:t>
      </w:r>
      <w:proofErr w:type="gramStart"/>
      <w:r>
        <w:t>следующий</w:t>
      </w:r>
      <w:proofErr w:type="gramEnd"/>
      <w:r>
        <w:t xml:space="preserve"> КПЭ: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8.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 w:rsidRPr="00457E93">
        <w:rPr>
          <w:position w:val="-31"/>
        </w:rPr>
        <w:pict>
          <v:shape id="_x0000_i1028" style="width:109.5pt;height:45pt" coordsize="" o:spt="100" adj="0,,0" path="" filled="f" stroked="f">
            <v:stroke joinstyle="miter"/>
            <v:imagedata r:id="rId11" o:title="base_1_317658_32771"/>
            <v:formulas/>
            <v:path o:connecttype="segments"/>
          </v:shape>
        </w:pict>
      </w:r>
      <w:r>
        <w:t>, где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>ДСо -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комплаенсу;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КСо - количество сотрудников федерального органа исполнительной </w:t>
      </w:r>
      <w:r>
        <w:lastRenderedPageBreak/>
        <w:t>власти, с которыми были проведены обучающие мероприятия по антимонопольному законодательству и антимонопольному комплаенсу;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КСобщ - общее количество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Title"/>
        <w:jc w:val="center"/>
        <w:outlineLvl w:val="1"/>
      </w:pPr>
      <w:r>
        <w:t>IV. Оценка значений КПЭ для федерального органа</w:t>
      </w:r>
    </w:p>
    <w:p w:rsidR="002A656E" w:rsidRDefault="002A656E">
      <w:pPr>
        <w:pStyle w:val="ConsPlusTitle"/>
        <w:jc w:val="center"/>
      </w:pPr>
      <w:r>
        <w:t>исполнительной власти в целом и КПЭ для уполномоченного</w:t>
      </w:r>
    </w:p>
    <w:p w:rsidR="002A656E" w:rsidRDefault="002A656E">
      <w:pPr>
        <w:pStyle w:val="ConsPlusTitle"/>
        <w:jc w:val="center"/>
      </w:pPr>
      <w:r>
        <w:t>подразделения (должностного лица)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ind w:firstLine="540"/>
        <w:jc w:val="both"/>
      </w:pPr>
      <w:r>
        <w:t>9. Оценка значений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годом)".</w:t>
      </w:r>
    </w:p>
    <w:p w:rsidR="002A656E" w:rsidRDefault="002A656E">
      <w:pPr>
        <w:pStyle w:val="ConsPlusNormal"/>
        <w:spacing w:before="280"/>
        <w:ind w:firstLine="540"/>
        <w:jc w:val="both"/>
      </w:pPr>
      <w:proofErr w:type="gramStart"/>
      <w:r>
        <w:t xml:space="preserve">Ключевой показатель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коррелирует с ключевым показателем мероприятий, предусмотренным </w:t>
      </w:r>
      <w:hyperlink r:id="rId12" w:history="1">
        <w:r>
          <w:rPr>
            <w:color w:val="0000FF"/>
          </w:rPr>
          <w:t>подпунктом "б" пункта 1</w:t>
        </w:r>
      </w:hyperlink>
      <w: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</w:t>
      </w:r>
      <w:proofErr w:type="gramEnd"/>
      <w:r>
        <w:t xml:space="preserve">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2A656E" w:rsidRDefault="002A656E">
      <w:pPr>
        <w:pStyle w:val="ConsPlusNormal"/>
        <w:spacing w:before="280"/>
        <w:ind w:firstLine="540"/>
        <w:jc w:val="both"/>
      </w:pPr>
      <w:proofErr w:type="gramStart"/>
      <w:r>
        <w:t xml:space="preserve">Ежегодная оценка значения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призвана обеспечить понимание об эффективности функционирования антимонопольного комплаенса в федеральном органе исполнительной власти и о соответствии мероприятий антимонопольного комплаенса федерального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3" w:history="1">
        <w:r>
          <w:rPr>
            <w:color w:val="0000FF"/>
          </w:rPr>
          <w:t>планом</w:t>
        </w:r>
      </w:hyperlink>
      <w:r>
        <w:t>.</w:t>
      </w:r>
      <w:proofErr w:type="gramEnd"/>
    </w:p>
    <w:p w:rsidR="002A656E" w:rsidRDefault="002A656E">
      <w:pPr>
        <w:pStyle w:val="ConsPlusNormal"/>
        <w:spacing w:before="280"/>
        <w:ind w:firstLine="540"/>
        <w:jc w:val="both"/>
      </w:pPr>
      <w:r>
        <w:t>10. Оценка значений КПЭ "доля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законодательства" и "доля нормативных правовых актов федерального органа исполнительной власти, в которых выявлены риски нарушения антимонопольного законодательства".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Оценка вышеуказанных значений КПЭ направлена на понимание </w:t>
      </w:r>
      <w:r>
        <w:lastRenderedPageBreak/>
        <w:t xml:space="preserve">эффективности мероприятий антимонопольного комплаенса, предусмотренных </w:t>
      </w:r>
      <w:hyperlink r:id="rId1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15" w:history="1">
        <w:r>
          <w:rPr>
            <w:color w:val="0000FF"/>
          </w:rPr>
          <w:t>"в" пункта 15</w:t>
        </w:r>
      </w:hyperlink>
      <w:r>
        <w:t xml:space="preserve"> Методических рекомендаций.</w:t>
      </w:r>
    </w:p>
    <w:p w:rsidR="002A656E" w:rsidRDefault="002A656E">
      <w:pPr>
        <w:pStyle w:val="ConsPlusNormal"/>
        <w:spacing w:before="280"/>
        <w:ind w:firstLine="540"/>
        <w:jc w:val="both"/>
      </w:pPr>
      <w:proofErr w:type="gramStart"/>
      <w:r>
        <w:t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федерального органа исполнительной власти,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>
        <w:t xml:space="preserve">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 (должностным лицом). </w:t>
      </w:r>
      <w:proofErr w:type="gramStart"/>
      <w:r>
        <w:t>И</w:t>
      </w:r>
      <w:proofErr w:type="gramEnd"/>
      <w: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>11. Оценка значения КПЭ "сотрудников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комплаенсу".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Консультирование и обучение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 (должностного лица) согласно </w:t>
      </w:r>
      <w:hyperlink r:id="rId16" w:history="1">
        <w:r>
          <w:rPr>
            <w:color w:val="0000FF"/>
          </w:rPr>
          <w:t>подпункту "г" пункта 11</w:t>
        </w:r>
      </w:hyperlink>
      <w: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7" w:history="1">
        <w:r>
          <w:rPr>
            <w:color w:val="0000FF"/>
          </w:rPr>
          <w:t>подпунктом "б" пункта 1</w:t>
        </w:r>
      </w:hyperlink>
      <w:r>
        <w:t xml:space="preserve"> Национального плана.</w:t>
      </w:r>
    </w:p>
    <w:p w:rsidR="002A656E" w:rsidRDefault="002A656E">
      <w:pPr>
        <w:pStyle w:val="ConsPlusNormal"/>
        <w:spacing w:before="280"/>
        <w:ind w:firstLine="540"/>
        <w:jc w:val="both"/>
      </w:pPr>
      <w:r>
        <w:t xml:space="preserve">Расчет данного показателя предусматривает определение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</w:t>
      </w:r>
      <w:r>
        <w:lastRenderedPageBreak/>
        <w:t>КПЭ.</w:t>
      </w: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jc w:val="both"/>
      </w:pPr>
    </w:p>
    <w:p w:rsidR="002A656E" w:rsidRDefault="002A6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60" w:rsidRDefault="00D80760">
      <w:bookmarkStart w:id="1" w:name="_GoBack"/>
      <w:bookmarkEnd w:id="1"/>
    </w:p>
    <w:sectPr w:rsidR="00D80760" w:rsidSect="00E71195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6E"/>
    <w:rsid w:val="002A656E"/>
    <w:rsid w:val="009829B8"/>
    <w:rsid w:val="00D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6E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A656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A656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6E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A656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A656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49F2AAD85592109914B3631C99E1020114F666273F7861D123FA257529C011A0A0BD9E762EAE00EFBB848E20467D613B0EB58D1C0195DA1l61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F2AAD85592109914B3631C99E102010476A6672F5861D123FA257529C011A0A0BD9E762EAE10BF9B848E20467D613B0EB58D1C0195DA1l613J" TargetMode="External"/><Relationship Id="rId12" Type="http://schemas.openxmlformats.org/officeDocument/2006/relationships/hyperlink" Target="consultantplus://offline/ref=B49F2AAD85592109914B3631C99E1020114F666273F7861D123FA257529C011A0A0BD9E762EAE00DFCB848E20467D613B0EB58D1C0195DA1l613J" TargetMode="External"/><Relationship Id="rId17" Type="http://schemas.openxmlformats.org/officeDocument/2006/relationships/hyperlink" Target="consultantplus://offline/ref=B49F2AAD85592109914B3631C99E1020114F666273F7861D123FA257529C011A0A0BD9E762EAE00DFCB848E20467D613B0EB58D1C0195DA1l61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9F2AAD85592109914B3631C99E102010476A6672F5861D123FA257529C011A0A0BD9E762EAE00EFAB848E20467D613B0EB58D1C0195DA1l61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F2AAD85592109914B3631C99E102010476A6672F5861D123FA257529C011A0A0BD9E762EAE10BF9B848E20467D613B0EB58D1C0195DA1l613J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9F2AAD85592109914B3631C99E102010476A6672F5861D123FA257529C011A0A0BD9E762EAE00CFEB848E20467D613B0EB58D1C0195DA1l613J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B49F2AAD85592109914B3631C99E102010476A6672F5861D123FA257529C011A0A0BD9E762EAE00CFDB848E20467D613B0EB58D1C0195DA1l6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2019-12-27T09:53:00Z</dcterms:created>
  <dcterms:modified xsi:type="dcterms:W3CDTF">2019-12-27T09:54:00Z</dcterms:modified>
</cp:coreProperties>
</file>